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1CA1F" w14:textId="77777777" w:rsidR="003840A3" w:rsidRPr="00585B92" w:rsidRDefault="003840A3" w:rsidP="00585B92">
      <w:pPr>
        <w:spacing w:line="360" w:lineRule="auto"/>
        <w:jc w:val="both"/>
        <w:rPr>
          <w:rFonts w:ascii="Book Antiqua" w:hAnsi="Book Antiqua"/>
          <w:sz w:val="22"/>
          <w:szCs w:val="22"/>
        </w:rPr>
      </w:pPr>
    </w:p>
    <w:p w14:paraId="0AD3E586" w14:textId="1C13183C" w:rsidR="003840A3" w:rsidRPr="00232EE9" w:rsidRDefault="005B5CCC" w:rsidP="00232EE9">
      <w:pPr>
        <w:pStyle w:val="Heading1"/>
      </w:pPr>
      <w:r w:rsidRPr="00232EE9">
        <w:t xml:space="preserve">Response to </w:t>
      </w:r>
      <w:r w:rsidR="000D3027" w:rsidRPr="00232EE9">
        <w:t>‘Exploring the Textual Alchemy of Legal Gender’</w:t>
      </w:r>
    </w:p>
    <w:p w14:paraId="2395873F" w14:textId="3082D598" w:rsidR="000D3027" w:rsidRPr="00531A5B" w:rsidRDefault="00531A5B" w:rsidP="0020629B">
      <w:pPr>
        <w:spacing w:line="480" w:lineRule="auto"/>
        <w:jc w:val="both"/>
        <w:rPr>
          <w:rFonts w:ascii="Garamond" w:hAnsi="Garamond"/>
        </w:rPr>
      </w:pPr>
      <w:r>
        <w:rPr>
          <w:rFonts w:ascii="Garamond" w:hAnsi="Garamond"/>
          <w:b/>
          <w:bCs/>
        </w:rPr>
        <w:t>Alain Pottage</w:t>
      </w:r>
      <w:r w:rsidR="00906CBF">
        <w:rPr>
          <w:rStyle w:val="FootnoteReference"/>
          <w:rFonts w:ascii="Garamond" w:hAnsi="Garamond"/>
          <w:b/>
          <w:bCs/>
        </w:rPr>
        <w:footnoteReference w:customMarkFollows="1" w:id="1"/>
        <w:t>*</w:t>
      </w:r>
    </w:p>
    <w:p w14:paraId="7E190C7C" w14:textId="77777777" w:rsidR="00585B92" w:rsidRPr="0020629B" w:rsidRDefault="00585B92" w:rsidP="0020629B">
      <w:pPr>
        <w:spacing w:line="480" w:lineRule="auto"/>
        <w:jc w:val="both"/>
        <w:rPr>
          <w:rFonts w:ascii="Garamond" w:hAnsi="Garamond"/>
        </w:rPr>
      </w:pPr>
    </w:p>
    <w:p w14:paraId="03F69104" w14:textId="77777777" w:rsidR="009B6A9D" w:rsidRDefault="00B839BB" w:rsidP="0020629B">
      <w:pPr>
        <w:spacing w:line="480" w:lineRule="auto"/>
        <w:jc w:val="both"/>
        <w:rPr>
          <w:rFonts w:ascii="Garamond" w:hAnsi="Garamond"/>
        </w:rPr>
      </w:pPr>
      <w:r w:rsidRPr="0020629B">
        <w:rPr>
          <w:rFonts w:ascii="Garamond" w:hAnsi="Garamond"/>
        </w:rPr>
        <w:t xml:space="preserve">Emily </w:t>
      </w:r>
      <w:proofErr w:type="spellStart"/>
      <w:r w:rsidRPr="0020629B">
        <w:rPr>
          <w:rFonts w:ascii="Garamond" w:hAnsi="Garamond"/>
        </w:rPr>
        <w:t>Grabham</w:t>
      </w:r>
      <w:r w:rsidR="00EB2DA7" w:rsidRPr="0020629B">
        <w:rPr>
          <w:rFonts w:ascii="Garamond" w:hAnsi="Garamond"/>
        </w:rPr>
        <w:t>’s</w:t>
      </w:r>
      <w:proofErr w:type="spellEnd"/>
      <w:r w:rsidR="007D396C" w:rsidRPr="0020629B">
        <w:rPr>
          <w:rFonts w:ascii="Garamond" w:hAnsi="Garamond"/>
        </w:rPr>
        <w:t xml:space="preserve"> </w:t>
      </w:r>
      <w:r w:rsidR="00EB2DA7" w:rsidRPr="0020629B">
        <w:rPr>
          <w:rFonts w:ascii="Garamond" w:hAnsi="Garamond"/>
        </w:rPr>
        <w:t xml:space="preserve">paper </w:t>
      </w:r>
      <w:r w:rsidR="009724D6" w:rsidRPr="0020629B">
        <w:rPr>
          <w:rFonts w:ascii="Garamond" w:hAnsi="Garamond"/>
        </w:rPr>
        <w:t>deftly positions</w:t>
      </w:r>
      <w:r w:rsidR="00C24FC5" w:rsidRPr="0020629B">
        <w:rPr>
          <w:rFonts w:ascii="Garamond" w:hAnsi="Garamond"/>
        </w:rPr>
        <w:t xml:space="preserve"> the</w:t>
      </w:r>
      <w:r w:rsidR="00EB2DA7" w:rsidRPr="0020629B">
        <w:rPr>
          <w:rFonts w:ascii="Garamond" w:hAnsi="Garamond"/>
        </w:rPr>
        <w:t xml:space="preserve"> process</w:t>
      </w:r>
      <w:r w:rsidR="00C24FC5" w:rsidRPr="0020629B">
        <w:rPr>
          <w:rFonts w:ascii="Garamond" w:hAnsi="Garamond"/>
        </w:rPr>
        <w:t xml:space="preserve"> of l</w:t>
      </w:r>
      <w:bookmarkStart w:id="0" w:name="_GoBack"/>
      <w:bookmarkEnd w:id="0"/>
      <w:r w:rsidR="00C24FC5" w:rsidRPr="0020629B">
        <w:rPr>
          <w:rFonts w:ascii="Garamond" w:hAnsi="Garamond"/>
        </w:rPr>
        <w:t xml:space="preserve">egislative drafting </w:t>
      </w:r>
      <w:r w:rsidR="009724D6" w:rsidRPr="0020629B">
        <w:rPr>
          <w:rFonts w:ascii="Garamond" w:hAnsi="Garamond"/>
        </w:rPr>
        <w:t xml:space="preserve">as an object of </w:t>
      </w:r>
      <w:r w:rsidR="007D396C" w:rsidRPr="0020629B">
        <w:rPr>
          <w:rFonts w:ascii="Garamond" w:hAnsi="Garamond"/>
        </w:rPr>
        <w:t xml:space="preserve">social-scientific </w:t>
      </w:r>
      <w:r w:rsidR="00F13BAD" w:rsidRPr="0020629B">
        <w:rPr>
          <w:rFonts w:ascii="Garamond" w:hAnsi="Garamond"/>
        </w:rPr>
        <w:t>study</w:t>
      </w:r>
      <w:r w:rsidR="007D396C" w:rsidRPr="0020629B">
        <w:rPr>
          <w:rFonts w:ascii="Garamond" w:hAnsi="Garamond"/>
        </w:rPr>
        <w:t>.</w:t>
      </w:r>
      <w:r w:rsidR="009724D6" w:rsidRPr="0020629B">
        <w:rPr>
          <w:rFonts w:ascii="Garamond" w:hAnsi="Garamond"/>
        </w:rPr>
        <w:t xml:space="preserve"> </w:t>
      </w:r>
      <w:r w:rsidR="00F13BAD" w:rsidRPr="0020629B">
        <w:rPr>
          <w:rFonts w:ascii="Garamond" w:hAnsi="Garamond"/>
        </w:rPr>
        <w:t xml:space="preserve">Her reconstruction of the </w:t>
      </w:r>
      <w:r w:rsidR="004A0328" w:rsidRPr="0020629B">
        <w:rPr>
          <w:rFonts w:ascii="Garamond" w:hAnsi="Garamond"/>
        </w:rPr>
        <w:t xml:space="preserve">use of </w:t>
      </w:r>
      <w:r w:rsidR="00F13BAD" w:rsidRPr="0020629B">
        <w:rPr>
          <w:rFonts w:ascii="Garamond" w:hAnsi="Garamond"/>
        </w:rPr>
        <w:t xml:space="preserve">gender pronouns </w:t>
      </w:r>
      <w:r w:rsidR="0028570B" w:rsidRPr="0020629B">
        <w:rPr>
          <w:rFonts w:ascii="Garamond" w:hAnsi="Garamond"/>
        </w:rPr>
        <w:t>anticipates</w:t>
      </w:r>
      <w:r w:rsidR="00EB2DA7" w:rsidRPr="0020629B">
        <w:rPr>
          <w:rFonts w:ascii="Garamond" w:hAnsi="Garamond"/>
        </w:rPr>
        <w:t xml:space="preserve"> so many</w:t>
      </w:r>
      <w:r w:rsidR="00FF421F" w:rsidRPr="0020629B">
        <w:rPr>
          <w:rFonts w:ascii="Garamond" w:hAnsi="Garamond"/>
        </w:rPr>
        <w:t xml:space="preserve"> lines of inquiry that i</w:t>
      </w:r>
      <w:r w:rsidR="00EB2DA7" w:rsidRPr="0020629B">
        <w:rPr>
          <w:rFonts w:ascii="Garamond" w:hAnsi="Garamond"/>
        </w:rPr>
        <w:t>t is</w:t>
      </w:r>
      <w:r w:rsidR="00802B4E" w:rsidRPr="0020629B">
        <w:rPr>
          <w:rFonts w:ascii="Garamond" w:hAnsi="Garamond"/>
        </w:rPr>
        <w:t xml:space="preserve"> difficult to </w:t>
      </w:r>
      <w:r w:rsidR="00DA396B" w:rsidRPr="0020629B">
        <w:rPr>
          <w:rFonts w:ascii="Garamond" w:hAnsi="Garamond"/>
        </w:rPr>
        <w:t xml:space="preserve">hold to </w:t>
      </w:r>
      <w:proofErr w:type="spellStart"/>
      <w:r w:rsidR="00DA396B" w:rsidRPr="0020629B">
        <w:rPr>
          <w:rFonts w:ascii="Garamond" w:hAnsi="Garamond"/>
        </w:rPr>
        <w:t>any one</w:t>
      </w:r>
      <w:proofErr w:type="spellEnd"/>
      <w:r w:rsidR="00BF0DAE" w:rsidRPr="0020629B">
        <w:rPr>
          <w:rFonts w:ascii="Garamond" w:hAnsi="Garamond"/>
        </w:rPr>
        <w:t>.</w:t>
      </w:r>
      <w:r w:rsidR="00DA396B" w:rsidRPr="0020629B">
        <w:rPr>
          <w:rFonts w:ascii="Garamond" w:hAnsi="Garamond"/>
        </w:rPr>
        <w:t xml:space="preserve"> </w:t>
      </w:r>
      <w:r w:rsidR="009724D6" w:rsidRPr="0020629B">
        <w:rPr>
          <w:rFonts w:ascii="Garamond" w:hAnsi="Garamond"/>
        </w:rPr>
        <w:t xml:space="preserve">In this brief comment I pick up </w:t>
      </w:r>
      <w:r w:rsidR="0028570B" w:rsidRPr="0020629B">
        <w:rPr>
          <w:rFonts w:ascii="Garamond" w:hAnsi="Garamond"/>
        </w:rPr>
        <w:t xml:space="preserve">on </w:t>
      </w:r>
      <w:r w:rsidR="009724D6" w:rsidRPr="0020629B">
        <w:rPr>
          <w:rFonts w:ascii="Garamond" w:hAnsi="Garamond"/>
        </w:rPr>
        <w:t>a theme that is suggested by Emily</w:t>
      </w:r>
      <w:r w:rsidR="00FF421F" w:rsidRPr="0020629B">
        <w:rPr>
          <w:rFonts w:ascii="Garamond" w:hAnsi="Garamond"/>
        </w:rPr>
        <w:t>’s</w:t>
      </w:r>
      <w:r w:rsidR="00F13BAD" w:rsidRPr="0020629B">
        <w:rPr>
          <w:rFonts w:ascii="Garamond" w:hAnsi="Garamond"/>
        </w:rPr>
        <w:t xml:space="preserve"> </w:t>
      </w:r>
      <w:r w:rsidR="00BF0DAE" w:rsidRPr="0020629B">
        <w:rPr>
          <w:rFonts w:ascii="Garamond" w:hAnsi="Garamond"/>
        </w:rPr>
        <w:t>foregrounding</w:t>
      </w:r>
      <w:r w:rsidR="00FF421F" w:rsidRPr="0020629B">
        <w:rPr>
          <w:rFonts w:ascii="Garamond" w:hAnsi="Garamond"/>
        </w:rPr>
        <w:t xml:space="preserve"> of a </w:t>
      </w:r>
      <w:r w:rsidR="009724D6" w:rsidRPr="0020629B">
        <w:rPr>
          <w:rFonts w:ascii="Garamond" w:hAnsi="Garamond"/>
        </w:rPr>
        <w:t xml:space="preserve">statement </w:t>
      </w:r>
      <w:r w:rsidR="00FF421F" w:rsidRPr="0020629B">
        <w:rPr>
          <w:rFonts w:ascii="Garamond" w:hAnsi="Garamond"/>
        </w:rPr>
        <w:t xml:space="preserve">issued by </w:t>
      </w:r>
      <w:r w:rsidR="00F13BAD" w:rsidRPr="0020629B">
        <w:rPr>
          <w:rFonts w:ascii="Garamond" w:hAnsi="Garamond"/>
        </w:rPr>
        <w:t>the Office of P</w:t>
      </w:r>
      <w:r w:rsidR="009724D6" w:rsidRPr="0020629B">
        <w:rPr>
          <w:rFonts w:ascii="Garamond" w:hAnsi="Garamond"/>
        </w:rPr>
        <w:t xml:space="preserve">arliamentary </w:t>
      </w:r>
      <w:r w:rsidR="00F13BAD" w:rsidRPr="0020629B">
        <w:rPr>
          <w:rFonts w:ascii="Garamond" w:hAnsi="Garamond"/>
        </w:rPr>
        <w:t>C</w:t>
      </w:r>
      <w:r w:rsidR="009724D6" w:rsidRPr="0020629B">
        <w:rPr>
          <w:rFonts w:ascii="Garamond" w:hAnsi="Garamond"/>
        </w:rPr>
        <w:t xml:space="preserve">ounsel: </w:t>
      </w:r>
      <w:r w:rsidR="00AA610E" w:rsidRPr="0020629B">
        <w:rPr>
          <w:rFonts w:ascii="Garamond" w:hAnsi="Garamond"/>
        </w:rPr>
        <w:t xml:space="preserve">‘the medium is not the message’. </w:t>
      </w:r>
      <w:r w:rsidR="00F65606" w:rsidRPr="0020629B">
        <w:rPr>
          <w:rFonts w:ascii="Garamond" w:hAnsi="Garamond"/>
        </w:rPr>
        <w:t>I</w:t>
      </w:r>
      <w:r w:rsidR="00594B86" w:rsidRPr="0020629B">
        <w:rPr>
          <w:rFonts w:ascii="Garamond" w:hAnsi="Garamond"/>
        </w:rPr>
        <w:t xml:space="preserve">t is impossible not to </w:t>
      </w:r>
      <w:r w:rsidR="00DA396B" w:rsidRPr="0020629B">
        <w:rPr>
          <w:rFonts w:ascii="Garamond" w:hAnsi="Garamond"/>
        </w:rPr>
        <w:t xml:space="preserve">have in mind the </w:t>
      </w:r>
      <w:r w:rsidR="00112236" w:rsidRPr="0020629B">
        <w:rPr>
          <w:rFonts w:ascii="Garamond" w:hAnsi="Garamond"/>
        </w:rPr>
        <w:t xml:space="preserve">questions of temporality that </w:t>
      </w:r>
      <w:r w:rsidR="00DA79A8" w:rsidRPr="0020629B">
        <w:rPr>
          <w:rFonts w:ascii="Garamond" w:hAnsi="Garamond"/>
        </w:rPr>
        <w:t>Emily’s</w:t>
      </w:r>
      <w:r w:rsidR="00112236" w:rsidRPr="0020629B">
        <w:rPr>
          <w:rFonts w:ascii="Garamond" w:hAnsi="Garamond"/>
        </w:rPr>
        <w:t xml:space="preserve"> work</w:t>
      </w:r>
      <w:r w:rsidR="008F062D" w:rsidRPr="0020629B">
        <w:rPr>
          <w:rFonts w:ascii="Garamond" w:hAnsi="Garamond"/>
        </w:rPr>
        <w:t xml:space="preserve"> </w:t>
      </w:r>
      <w:r w:rsidR="00112236" w:rsidRPr="0020629B">
        <w:rPr>
          <w:rFonts w:ascii="Garamond" w:hAnsi="Garamond"/>
        </w:rPr>
        <w:t>encourage</w:t>
      </w:r>
      <w:r w:rsidR="0028570B" w:rsidRPr="0020629B">
        <w:rPr>
          <w:rFonts w:ascii="Garamond" w:hAnsi="Garamond"/>
        </w:rPr>
        <w:t>s</w:t>
      </w:r>
      <w:r w:rsidR="00112236" w:rsidRPr="0020629B">
        <w:rPr>
          <w:rFonts w:ascii="Garamond" w:hAnsi="Garamond"/>
        </w:rPr>
        <w:t xml:space="preserve"> us to see. </w:t>
      </w:r>
      <w:r w:rsidR="00DA79A8" w:rsidRPr="0020629B">
        <w:rPr>
          <w:rFonts w:ascii="Garamond" w:hAnsi="Garamond"/>
        </w:rPr>
        <w:t xml:space="preserve">In the case of legislation, </w:t>
      </w:r>
      <w:r w:rsidR="00DA396B" w:rsidRPr="0020629B">
        <w:rPr>
          <w:rFonts w:ascii="Garamond" w:hAnsi="Garamond"/>
        </w:rPr>
        <w:t xml:space="preserve">the medium </w:t>
      </w:r>
      <w:r w:rsidR="007D396C" w:rsidRPr="0020629B">
        <w:rPr>
          <w:rFonts w:ascii="Garamond" w:hAnsi="Garamond"/>
        </w:rPr>
        <w:t>consists</w:t>
      </w:r>
      <w:r w:rsidR="00DA396B" w:rsidRPr="0020629B">
        <w:rPr>
          <w:rFonts w:ascii="Garamond" w:hAnsi="Garamond"/>
        </w:rPr>
        <w:t xml:space="preserve"> not only</w:t>
      </w:r>
      <w:r w:rsidR="007D396C" w:rsidRPr="0020629B">
        <w:rPr>
          <w:rFonts w:ascii="Garamond" w:hAnsi="Garamond"/>
        </w:rPr>
        <w:t xml:space="preserve"> in</w:t>
      </w:r>
      <w:r w:rsidR="00DA396B" w:rsidRPr="0020629B">
        <w:rPr>
          <w:rFonts w:ascii="Garamond" w:hAnsi="Garamond"/>
        </w:rPr>
        <w:t xml:space="preserve"> the materiality of text but</w:t>
      </w:r>
      <w:r w:rsidR="007D396C" w:rsidRPr="0020629B">
        <w:rPr>
          <w:rFonts w:ascii="Garamond" w:hAnsi="Garamond"/>
        </w:rPr>
        <w:t xml:space="preserve"> in the cultural techniques of </w:t>
      </w:r>
      <w:r w:rsidR="00DA396B" w:rsidRPr="0020629B">
        <w:rPr>
          <w:rFonts w:ascii="Garamond" w:hAnsi="Garamond"/>
        </w:rPr>
        <w:t xml:space="preserve">authorship and interpretation that are </w:t>
      </w:r>
      <w:r w:rsidR="001858BE" w:rsidRPr="0020629B">
        <w:rPr>
          <w:rFonts w:ascii="Garamond" w:hAnsi="Garamond"/>
        </w:rPr>
        <w:t xml:space="preserve">implicated in </w:t>
      </w:r>
      <w:r w:rsidR="007D396C" w:rsidRPr="0020629B">
        <w:rPr>
          <w:rFonts w:ascii="Garamond" w:hAnsi="Garamond"/>
        </w:rPr>
        <w:t xml:space="preserve">this </w:t>
      </w:r>
      <w:r w:rsidR="00DA396B" w:rsidRPr="0020629B">
        <w:rPr>
          <w:rFonts w:ascii="Garamond" w:hAnsi="Garamond"/>
        </w:rPr>
        <w:t>materiality</w:t>
      </w:r>
      <w:r w:rsidR="00FF421F" w:rsidRPr="0020629B">
        <w:rPr>
          <w:rFonts w:ascii="Garamond" w:hAnsi="Garamond"/>
        </w:rPr>
        <w:t>. And time is an essential ingredient of these medial techniques; the</w:t>
      </w:r>
      <w:r w:rsidR="00F65606" w:rsidRPr="0020629B">
        <w:rPr>
          <w:rFonts w:ascii="Garamond" w:hAnsi="Garamond"/>
        </w:rPr>
        <w:t xml:space="preserve"> </w:t>
      </w:r>
      <w:r w:rsidR="00DA396B" w:rsidRPr="0020629B">
        <w:rPr>
          <w:rFonts w:ascii="Garamond" w:hAnsi="Garamond"/>
        </w:rPr>
        <w:t>grammatical and syntactical</w:t>
      </w:r>
      <w:r w:rsidR="007D396C" w:rsidRPr="0020629B">
        <w:rPr>
          <w:rFonts w:ascii="Garamond" w:hAnsi="Garamond"/>
        </w:rPr>
        <w:t xml:space="preserve"> </w:t>
      </w:r>
      <w:r w:rsidR="00BF0DAE" w:rsidRPr="0020629B">
        <w:rPr>
          <w:rFonts w:ascii="Garamond" w:hAnsi="Garamond"/>
        </w:rPr>
        <w:t xml:space="preserve">machinery of legislation and legislative drafting not only </w:t>
      </w:r>
      <w:r w:rsidR="007D396C" w:rsidRPr="0020629B">
        <w:rPr>
          <w:rFonts w:ascii="Garamond" w:hAnsi="Garamond"/>
        </w:rPr>
        <w:t>animate</w:t>
      </w:r>
      <w:r w:rsidR="0028570B" w:rsidRPr="0020629B">
        <w:rPr>
          <w:rFonts w:ascii="Garamond" w:hAnsi="Garamond"/>
        </w:rPr>
        <w:t>s</w:t>
      </w:r>
      <w:r w:rsidR="007D396C" w:rsidRPr="0020629B">
        <w:rPr>
          <w:rFonts w:ascii="Garamond" w:hAnsi="Garamond"/>
        </w:rPr>
        <w:t xml:space="preserve"> </w:t>
      </w:r>
      <w:r w:rsidR="00F65606" w:rsidRPr="0020629B">
        <w:rPr>
          <w:rFonts w:ascii="Garamond" w:hAnsi="Garamond"/>
        </w:rPr>
        <w:t xml:space="preserve">the pronouns </w:t>
      </w:r>
      <w:r w:rsidR="00BF0DAE" w:rsidRPr="0020629B">
        <w:rPr>
          <w:rFonts w:ascii="Garamond" w:hAnsi="Garamond"/>
        </w:rPr>
        <w:t>used i</w:t>
      </w:r>
      <w:r w:rsidR="0028570B" w:rsidRPr="0020629B">
        <w:rPr>
          <w:rFonts w:ascii="Garamond" w:hAnsi="Garamond"/>
        </w:rPr>
        <w:t>n</w:t>
      </w:r>
      <w:r w:rsidR="00BF0DAE" w:rsidRPr="0020629B">
        <w:rPr>
          <w:rFonts w:ascii="Garamond" w:hAnsi="Garamond"/>
        </w:rPr>
        <w:t xml:space="preserve"> statutes, it also constitutes a </w:t>
      </w:r>
      <w:r w:rsidR="00DA396B" w:rsidRPr="0020629B">
        <w:rPr>
          <w:rFonts w:ascii="Garamond" w:hAnsi="Garamond"/>
        </w:rPr>
        <w:t>locus of authorship</w:t>
      </w:r>
      <w:r w:rsidR="00BF0DAE" w:rsidRPr="0020629B">
        <w:rPr>
          <w:rFonts w:ascii="Garamond" w:hAnsi="Garamond"/>
        </w:rPr>
        <w:t xml:space="preserve"> that might itself be a subject of experimentation</w:t>
      </w:r>
      <w:r w:rsidR="00DA396B" w:rsidRPr="0020629B">
        <w:rPr>
          <w:rFonts w:ascii="Garamond" w:hAnsi="Garamond"/>
        </w:rPr>
        <w:t>.</w:t>
      </w:r>
    </w:p>
    <w:p w14:paraId="3B9A43D3" w14:textId="338671A4" w:rsidR="009B6A9D" w:rsidRDefault="00110ACD" w:rsidP="009B6A9D">
      <w:pPr>
        <w:spacing w:line="480" w:lineRule="auto"/>
        <w:ind w:firstLine="720"/>
        <w:jc w:val="both"/>
        <w:rPr>
          <w:rFonts w:ascii="Garamond" w:hAnsi="Garamond"/>
        </w:rPr>
      </w:pPr>
      <w:r w:rsidRPr="0020629B">
        <w:rPr>
          <w:rFonts w:ascii="Garamond" w:hAnsi="Garamond"/>
        </w:rPr>
        <w:t>F</w:t>
      </w:r>
      <w:r w:rsidR="00D43F47" w:rsidRPr="0020629B">
        <w:rPr>
          <w:rFonts w:ascii="Garamond" w:hAnsi="Garamond"/>
        </w:rPr>
        <w:t xml:space="preserve">rom the perspective of gender, or </w:t>
      </w:r>
      <w:r w:rsidR="00E57CBF" w:rsidRPr="0020629B">
        <w:rPr>
          <w:rFonts w:ascii="Garamond" w:hAnsi="Garamond"/>
        </w:rPr>
        <w:t>a perspective that looks</w:t>
      </w:r>
      <w:r w:rsidR="00575A3D" w:rsidRPr="0020629B">
        <w:rPr>
          <w:rFonts w:ascii="Garamond" w:hAnsi="Garamond"/>
        </w:rPr>
        <w:t xml:space="preserve"> </w:t>
      </w:r>
      <w:r w:rsidR="00D43F47" w:rsidRPr="0020629B">
        <w:rPr>
          <w:rFonts w:ascii="Garamond" w:hAnsi="Garamond"/>
        </w:rPr>
        <w:t>beyond gender, the</w:t>
      </w:r>
      <w:r w:rsidR="00F3234C" w:rsidRPr="0020629B">
        <w:rPr>
          <w:rFonts w:ascii="Garamond" w:hAnsi="Garamond"/>
        </w:rPr>
        <w:t xml:space="preserve"> </w:t>
      </w:r>
      <w:r w:rsidRPr="0020629B">
        <w:rPr>
          <w:rFonts w:ascii="Garamond" w:hAnsi="Garamond"/>
        </w:rPr>
        <w:t xml:space="preserve">grammatical routines of legislative drafting </w:t>
      </w:r>
      <w:r w:rsidR="009724D6" w:rsidRPr="0020629B">
        <w:rPr>
          <w:rFonts w:ascii="Garamond" w:hAnsi="Garamond"/>
        </w:rPr>
        <w:t>might be just</w:t>
      </w:r>
      <w:r w:rsidRPr="0020629B">
        <w:rPr>
          <w:rFonts w:ascii="Garamond" w:hAnsi="Garamond"/>
        </w:rPr>
        <w:t xml:space="preserve"> as interesting as the pronouns that they choreograph. Legislative texts are articulated into a set of te</w:t>
      </w:r>
      <w:r w:rsidR="00D43F47" w:rsidRPr="0020629B">
        <w:rPr>
          <w:rFonts w:ascii="Garamond" w:hAnsi="Garamond"/>
        </w:rPr>
        <w:t>nses</w:t>
      </w:r>
      <w:r w:rsidR="005F07AB" w:rsidRPr="0020629B">
        <w:rPr>
          <w:rFonts w:ascii="Garamond" w:hAnsi="Garamond"/>
        </w:rPr>
        <w:t xml:space="preserve"> – predominantly </w:t>
      </w:r>
      <w:r w:rsidR="00D43F47" w:rsidRPr="0020629B">
        <w:rPr>
          <w:rFonts w:ascii="Garamond" w:hAnsi="Garamond"/>
        </w:rPr>
        <w:t xml:space="preserve">conditional – </w:t>
      </w:r>
      <w:r w:rsidR="00B13A15" w:rsidRPr="0020629B">
        <w:rPr>
          <w:rFonts w:ascii="Garamond" w:hAnsi="Garamond"/>
        </w:rPr>
        <w:t xml:space="preserve">by means of which a normative </w:t>
      </w:r>
      <w:r w:rsidR="00A00E0B" w:rsidRPr="0020629B">
        <w:rPr>
          <w:rFonts w:ascii="Garamond" w:hAnsi="Garamond"/>
        </w:rPr>
        <w:t>programme or</w:t>
      </w:r>
      <w:r w:rsidR="00FB6CD4" w:rsidRPr="0020629B">
        <w:rPr>
          <w:rFonts w:ascii="Garamond" w:hAnsi="Garamond"/>
        </w:rPr>
        <w:t xml:space="preserve"> purpose</w:t>
      </w:r>
      <w:r w:rsidR="00112236" w:rsidRPr="0020629B">
        <w:rPr>
          <w:rFonts w:ascii="Garamond" w:hAnsi="Garamond"/>
        </w:rPr>
        <w:t xml:space="preserve"> is supposed to bind </w:t>
      </w:r>
      <w:r w:rsidR="00BD2B79" w:rsidRPr="0020629B">
        <w:rPr>
          <w:rFonts w:ascii="Garamond" w:hAnsi="Garamond"/>
        </w:rPr>
        <w:t>the future</w:t>
      </w:r>
      <w:r w:rsidR="00A40600" w:rsidRPr="0020629B">
        <w:rPr>
          <w:rFonts w:ascii="Garamond" w:hAnsi="Garamond"/>
        </w:rPr>
        <w:t xml:space="preserve">. As </w:t>
      </w:r>
      <w:r w:rsidR="005F07AB" w:rsidRPr="0020629B">
        <w:rPr>
          <w:rFonts w:ascii="Garamond" w:hAnsi="Garamond"/>
        </w:rPr>
        <w:t xml:space="preserve">a </w:t>
      </w:r>
      <w:r w:rsidR="00A40600" w:rsidRPr="0020629B">
        <w:rPr>
          <w:rFonts w:ascii="Garamond" w:hAnsi="Garamond"/>
        </w:rPr>
        <w:t xml:space="preserve">legislative drafter might put it, a statute has to </w:t>
      </w:r>
      <w:r w:rsidR="005F07AB" w:rsidRPr="0020629B">
        <w:rPr>
          <w:rFonts w:ascii="Garamond" w:hAnsi="Garamond"/>
        </w:rPr>
        <w:t>‘</w:t>
      </w:r>
      <w:r w:rsidR="00A40600" w:rsidRPr="0020629B">
        <w:rPr>
          <w:rFonts w:ascii="Garamond" w:hAnsi="Garamond"/>
        </w:rPr>
        <w:t>provide</w:t>
      </w:r>
      <w:r w:rsidR="005F07AB" w:rsidRPr="0020629B">
        <w:rPr>
          <w:rFonts w:ascii="Garamond" w:hAnsi="Garamond"/>
        </w:rPr>
        <w:t>’</w:t>
      </w:r>
      <w:r w:rsidR="00A40600" w:rsidRPr="0020629B">
        <w:rPr>
          <w:rFonts w:ascii="Garamond" w:hAnsi="Garamond"/>
        </w:rPr>
        <w:t xml:space="preserve"> for the future</w:t>
      </w:r>
      <w:r w:rsidR="005F07AB" w:rsidRPr="0020629B">
        <w:rPr>
          <w:rFonts w:ascii="Garamond" w:hAnsi="Garamond"/>
        </w:rPr>
        <w:t>; to anticipate</w:t>
      </w:r>
      <w:r w:rsidR="006A7ECC" w:rsidRPr="0020629B">
        <w:rPr>
          <w:rFonts w:ascii="Garamond" w:hAnsi="Garamond"/>
        </w:rPr>
        <w:t xml:space="preserve"> it</w:t>
      </w:r>
      <w:r w:rsidR="005F07AB" w:rsidRPr="0020629B">
        <w:rPr>
          <w:rFonts w:ascii="Garamond" w:hAnsi="Garamond"/>
        </w:rPr>
        <w:t xml:space="preserve"> (</w:t>
      </w:r>
      <w:proofErr w:type="spellStart"/>
      <w:r w:rsidR="005F07AB" w:rsidRPr="0020629B">
        <w:rPr>
          <w:rFonts w:ascii="Garamond" w:hAnsi="Garamond"/>
          <w:i/>
          <w:iCs/>
        </w:rPr>
        <w:t>providere</w:t>
      </w:r>
      <w:proofErr w:type="spellEnd"/>
      <w:r w:rsidR="005F07AB" w:rsidRPr="0020629B">
        <w:rPr>
          <w:rFonts w:ascii="Garamond" w:hAnsi="Garamond"/>
        </w:rPr>
        <w:t xml:space="preserve">) by </w:t>
      </w:r>
      <w:r w:rsidR="00F30044" w:rsidRPr="0020629B">
        <w:rPr>
          <w:rFonts w:ascii="Garamond" w:hAnsi="Garamond"/>
        </w:rPr>
        <w:t>reali</w:t>
      </w:r>
      <w:r w:rsidR="00C862E3">
        <w:rPr>
          <w:rFonts w:ascii="Garamond" w:hAnsi="Garamond"/>
        </w:rPr>
        <w:t>s</w:t>
      </w:r>
      <w:r w:rsidR="00594B86" w:rsidRPr="0020629B">
        <w:rPr>
          <w:rFonts w:ascii="Garamond" w:hAnsi="Garamond"/>
        </w:rPr>
        <w:t>ing it</w:t>
      </w:r>
      <w:r w:rsidR="00F30044" w:rsidRPr="0020629B">
        <w:rPr>
          <w:rFonts w:ascii="Garamond" w:hAnsi="Garamond"/>
        </w:rPr>
        <w:t xml:space="preserve"> into specified (contingent) events, and </w:t>
      </w:r>
      <w:r w:rsidR="00594B86" w:rsidRPr="0020629B">
        <w:rPr>
          <w:rFonts w:ascii="Garamond" w:hAnsi="Garamond"/>
        </w:rPr>
        <w:t xml:space="preserve">by specifying what will be the case if </w:t>
      </w:r>
      <w:r w:rsidR="00604A95" w:rsidRPr="0020629B">
        <w:rPr>
          <w:rFonts w:ascii="Garamond" w:hAnsi="Garamond"/>
        </w:rPr>
        <w:t xml:space="preserve">any </w:t>
      </w:r>
      <w:r w:rsidR="00594B86" w:rsidRPr="0020629B">
        <w:rPr>
          <w:rFonts w:ascii="Garamond" w:hAnsi="Garamond"/>
        </w:rPr>
        <w:t>these events should occur</w:t>
      </w:r>
      <w:r w:rsidR="00604A95" w:rsidRPr="0020629B">
        <w:rPr>
          <w:rFonts w:ascii="Garamond" w:hAnsi="Garamond"/>
        </w:rPr>
        <w:t>.</w:t>
      </w:r>
      <w:r w:rsidR="00594B86" w:rsidRPr="0020629B">
        <w:rPr>
          <w:rFonts w:ascii="Garamond" w:hAnsi="Garamond"/>
        </w:rPr>
        <w:t xml:space="preserve"> </w:t>
      </w:r>
      <w:r w:rsidR="001A69F5" w:rsidRPr="0020629B">
        <w:rPr>
          <w:rFonts w:ascii="Garamond" w:hAnsi="Garamond"/>
        </w:rPr>
        <w:t>The</w:t>
      </w:r>
      <w:r w:rsidR="00535C62" w:rsidRPr="0020629B">
        <w:rPr>
          <w:rFonts w:ascii="Garamond" w:hAnsi="Garamond"/>
        </w:rPr>
        <w:t xml:space="preserve"> governing mood is the subjunctive: </w:t>
      </w:r>
      <w:r w:rsidR="00575A3D" w:rsidRPr="0020629B">
        <w:rPr>
          <w:rFonts w:ascii="Garamond" w:hAnsi="Garamond"/>
        </w:rPr>
        <w:t>should a specified</w:t>
      </w:r>
      <w:r w:rsidR="00535C62" w:rsidRPr="0020629B">
        <w:rPr>
          <w:rFonts w:ascii="Garamond" w:hAnsi="Garamond"/>
        </w:rPr>
        <w:t xml:space="preserve"> event occur, it will have been provided for. </w:t>
      </w:r>
      <w:r w:rsidR="00F65606" w:rsidRPr="0020629B">
        <w:rPr>
          <w:rFonts w:ascii="Garamond" w:hAnsi="Garamond"/>
        </w:rPr>
        <w:t>Indeed, t</w:t>
      </w:r>
      <w:r w:rsidR="00604A95" w:rsidRPr="0020629B">
        <w:rPr>
          <w:rFonts w:ascii="Garamond" w:hAnsi="Garamond"/>
        </w:rPr>
        <w:t xml:space="preserve">he legislative drafter writes ‘as if’ specified events have already </w:t>
      </w:r>
      <w:r w:rsidR="00604A95" w:rsidRPr="0020629B">
        <w:rPr>
          <w:rFonts w:ascii="Garamond" w:hAnsi="Garamond"/>
        </w:rPr>
        <w:lastRenderedPageBreak/>
        <w:t xml:space="preserve">occurred; the </w:t>
      </w:r>
      <w:r w:rsidR="00535C62" w:rsidRPr="0020629B">
        <w:rPr>
          <w:rFonts w:ascii="Garamond" w:hAnsi="Garamond"/>
        </w:rPr>
        <w:t xml:space="preserve">future is brought </w:t>
      </w:r>
      <w:r w:rsidR="00D054EF" w:rsidRPr="0020629B">
        <w:rPr>
          <w:rFonts w:ascii="Garamond" w:hAnsi="Garamond"/>
        </w:rPr>
        <w:t>‘</w:t>
      </w:r>
      <w:r w:rsidR="00535C62" w:rsidRPr="0020629B">
        <w:rPr>
          <w:rFonts w:ascii="Garamond" w:hAnsi="Garamond"/>
        </w:rPr>
        <w:t>back</w:t>
      </w:r>
      <w:r w:rsidR="00D054EF" w:rsidRPr="0020629B">
        <w:rPr>
          <w:rFonts w:ascii="Garamond" w:hAnsi="Garamond"/>
        </w:rPr>
        <w:t>’</w:t>
      </w:r>
      <w:r w:rsidR="00535C62" w:rsidRPr="0020629B">
        <w:rPr>
          <w:rFonts w:ascii="Garamond" w:hAnsi="Garamond"/>
        </w:rPr>
        <w:t xml:space="preserve"> into the present by means of grammatical and syntactical protocols that </w:t>
      </w:r>
      <w:r w:rsidR="00E70BCB" w:rsidRPr="0020629B">
        <w:rPr>
          <w:rFonts w:ascii="Garamond" w:hAnsi="Garamond"/>
        </w:rPr>
        <w:t>materiali</w:t>
      </w:r>
      <w:r w:rsidR="004835FB">
        <w:rPr>
          <w:rFonts w:ascii="Garamond" w:hAnsi="Garamond"/>
        </w:rPr>
        <w:t>s</w:t>
      </w:r>
      <w:r w:rsidR="00535C62" w:rsidRPr="0020629B">
        <w:rPr>
          <w:rFonts w:ascii="Garamond" w:hAnsi="Garamond"/>
        </w:rPr>
        <w:t xml:space="preserve">e it textually in the </w:t>
      </w:r>
      <w:r w:rsidR="00D054EF" w:rsidRPr="0020629B">
        <w:rPr>
          <w:rFonts w:ascii="Garamond" w:hAnsi="Garamond"/>
        </w:rPr>
        <w:t>locus</w:t>
      </w:r>
      <w:r w:rsidR="00E70BCB" w:rsidRPr="0020629B">
        <w:rPr>
          <w:rFonts w:ascii="Garamond" w:hAnsi="Garamond"/>
        </w:rPr>
        <w:t xml:space="preserve"> of legislative authorship. </w:t>
      </w:r>
    </w:p>
    <w:p w14:paraId="6506C3DA" w14:textId="360B4EFF" w:rsidR="009B6A9D" w:rsidRDefault="00EB4E31" w:rsidP="009B6A9D">
      <w:pPr>
        <w:spacing w:line="480" w:lineRule="auto"/>
        <w:ind w:firstLine="720"/>
        <w:jc w:val="both"/>
        <w:rPr>
          <w:rFonts w:ascii="Garamond" w:hAnsi="Garamond"/>
        </w:rPr>
      </w:pPr>
      <w:r w:rsidRPr="0020629B">
        <w:rPr>
          <w:rFonts w:ascii="Garamond" w:hAnsi="Garamond"/>
        </w:rPr>
        <w:t xml:space="preserve">First, conditional tenses </w:t>
      </w:r>
      <w:r w:rsidR="00D054EF" w:rsidRPr="0020629B">
        <w:rPr>
          <w:rFonts w:ascii="Garamond" w:hAnsi="Garamond"/>
        </w:rPr>
        <w:t xml:space="preserve">function </w:t>
      </w:r>
      <w:r w:rsidRPr="0020629B">
        <w:rPr>
          <w:rFonts w:ascii="Garamond" w:hAnsi="Garamond"/>
        </w:rPr>
        <w:t xml:space="preserve">as </w:t>
      </w:r>
      <w:r w:rsidR="00D054EF" w:rsidRPr="0020629B">
        <w:rPr>
          <w:rFonts w:ascii="Garamond" w:hAnsi="Garamond"/>
        </w:rPr>
        <w:t xml:space="preserve">(binary) </w:t>
      </w:r>
      <w:r w:rsidRPr="0020629B">
        <w:rPr>
          <w:rFonts w:ascii="Garamond" w:hAnsi="Garamond"/>
        </w:rPr>
        <w:t>switches</w:t>
      </w:r>
      <w:r w:rsidR="00D054EF" w:rsidRPr="0020629B">
        <w:rPr>
          <w:rFonts w:ascii="Garamond" w:hAnsi="Garamond"/>
        </w:rPr>
        <w:t xml:space="preserve"> </w:t>
      </w:r>
      <w:r w:rsidR="004D5E3F" w:rsidRPr="0020629B">
        <w:rPr>
          <w:rFonts w:ascii="Garamond" w:hAnsi="Garamond"/>
        </w:rPr>
        <w:t>which determine whether</w:t>
      </w:r>
      <w:r w:rsidR="00680823" w:rsidRPr="0020629B">
        <w:rPr>
          <w:rFonts w:ascii="Garamond" w:hAnsi="Garamond"/>
        </w:rPr>
        <w:t xml:space="preserve"> or when</w:t>
      </w:r>
      <w:r w:rsidR="004D5E3F" w:rsidRPr="0020629B">
        <w:rPr>
          <w:rFonts w:ascii="Garamond" w:hAnsi="Garamond"/>
        </w:rPr>
        <w:t xml:space="preserve"> </w:t>
      </w:r>
      <w:r w:rsidR="008F062D" w:rsidRPr="0020629B">
        <w:rPr>
          <w:rFonts w:ascii="Garamond" w:hAnsi="Garamond"/>
        </w:rPr>
        <w:t>th</w:t>
      </w:r>
      <w:r w:rsidR="00604A95" w:rsidRPr="0020629B">
        <w:rPr>
          <w:rFonts w:ascii="Garamond" w:hAnsi="Garamond"/>
        </w:rPr>
        <w:t>e</w:t>
      </w:r>
      <w:r w:rsidR="008F062D" w:rsidRPr="0020629B">
        <w:rPr>
          <w:rFonts w:ascii="Garamond" w:hAnsi="Garamond"/>
        </w:rPr>
        <w:t xml:space="preserve"> time </w:t>
      </w:r>
      <w:r w:rsidR="00604A95" w:rsidRPr="0020629B">
        <w:rPr>
          <w:rFonts w:ascii="Garamond" w:hAnsi="Garamond"/>
        </w:rPr>
        <w:t xml:space="preserve">of a specified event </w:t>
      </w:r>
      <w:r w:rsidR="00680823" w:rsidRPr="0020629B">
        <w:rPr>
          <w:rFonts w:ascii="Garamond" w:hAnsi="Garamond"/>
        </w:rPr>
        <w:t>will</w:t>
      </w:r>
      <w:r w:rsidR="008F062D" w:rsidRPr="0020629B">
        <w:rPr>
          <w:rFonts w:ascii="Garamond" w:hAnsi="Garamond"/>
        </w:rPr>
        <w:t xml:space="preserve"> </w:t>
      </w:r>
      <w:r w:rsidR="0006722C" w:rsidRPr="0020629B">
        <w:rPr>
          <w:rFonts w:ascii="Garamond" w:hAnsi="Garamond"/>
        </w:rPr>
        <w:t xml:space="preserve">have </w:t>
      </w:r>
      <w:r w:rsidR="008F062D" w:rsidRPr="0020629B">
        <w:rPr>
          <w:rFonts w:ascii="Garamond" w:hAnsi="Garamond"/>
        </w:rPr>
        <w:t xml:space="preserve">come. Second, one effect of the syntactical-textual arrangement of statutes into clauses and </w:t>
      </w:r>
      <w:proofErr w:type="spellStart"/>
      <w:r w:rsidR="008F062D" w:rsidRPr="0020629B">
        <w:rPr>
          <w:rFonts w:ascii="Garamond" w:hAnsi="Garamond"/>
        </w:rPr>
        <w:t>subclauses</w:t>
      </w:r>
      <w:proofErr w:type="spellEnd"/>
      <w:r w:rsidR="008F062D" w:rsidRPr="0020629B">
        <w:rPr>
          <w:rFonts w:ascii="Garamond" w:hAnsi="Garamond"/>
        </w:rPr>
        <w:t xml:space="preserve"> is that, from the perspective of the drafter, ‘provision’ for the future is made </w:t>
      </w:r>
      <w:r w:rsidR="008A3668" w:rsidRPr="0020629B">
        <w:rPr>
          <w:rFonts w:ascii="Garamond" w:hAnsi="Garamond"/>
        </w:rPr>
        <w:t>th</w:t>
      </w:r>
      <w:r w:rsidR="00575A3D" w:rsidRPr="0020629B">
        <w:rPr>
          <w:rFonts w:ascii="Garamond" w:hAnsi="Garamond"/>
        </w:rPr>
        <w:t>r</w:t>
      </w:r>
      <w:r w:rsidR="008A3668" w:rsidRPr="0020629B">
        <w:rPr>
          <w:rFonts w:ascii="Garamond" w:hAnsi="Garamond"/>
        </w:rPr>
        <w:t xml:space="preserve">ough the composition of a textual plane. </w:t>
      </w:r>
      <w:r w:rsidR="005F5454" w:rsidRPr="0020629B">
        <w:rPr>
          <w:rFonts w:ascii="Garamond" w:hAnsi="Garamond"/>
        </w:rPr>
        <w:t xml:space="preserve">There is time in this </w:t>
      </w:r>
      <w:r w:rsidR="008A3668" w:rsidRPr="0020629B">
        <w:rPr>
          <w:rFonts w:ascii="Garamond" w:hAnsi="Garamond"/>
        </w:rPr>
        <w:t>synchronous plane</w:t>
      </w:r>
      <w:r w:rsidR="00A12D13" w:rsidRPr="0020629B">
        <w:rPr>
          <w:rFonts w:ascii="Garamond" w:hAnsi="Garamond"/>
        </w:rPr>
        <w:t>:</w:t>
      </w:r>
      <w:r w:rsidR="005F5454" w:rsidRPr="0020629B">
        <w:rPr>
          <w:rFonts w:ascii="Garamond" w:hAnsi="Garamond"/>
        </w:rPr>
        <w:t xml:space="preserve"> the </w:t>
      </w:r>
      <w:r w:rsidR="008A3668" w:rsidRPr="0020629B">
        <w:rPr>
          <w:rFonts w:ascii="Garamond" w:hAnsi="Garamond"/>
        </w:rPr>
        <w:t xml:space="preserve">grammatical and experiential time that is involved in </w:t>
      </w:r>
      <w:r w:rsidR="006C3F86" w:rsidRPr="0020629B">
        <w:rPr>
          <w:rFonts w:ascii="Garamond" w:hAnsi="Garamond"/>
        </w:rPr>
        <w:t>constructing</w:t>
      </w:r>
      <w:r w:rsidR="00D054EF" w:rsidRPr="0020629B">
        <w:rPr>
          <w:rFonts w:ascii="Garamond" w:hAnsi="Garamond"/>
        </w:rPr>
        <w:t xml:space="preserve"> (</w:t>
      </w:r>
      <w:r w:rsidR="006C3F86" w:rsidRPr="0020629B">
        <w:rPr>
          <w:rFonts w:ascii="Garamond" w:hAnsi="Garamond"/>
        </w:rPr>
        <w:t>or</w:t>
      </w:r>
      <w:r w:rsidR="00D054EF" w:rsidRPr="0020629B">
        <w:rPr>
          <w:rFonts w:ascii="Garamond" w:hAnsi="Garamond"/>
        </w:rPr>
        <w:t>, for the interpreter,</w:t>
      </w:r>
      <w:r w:rsidR="006C3F86" w:rsidRPr="0020629B">
        <w:rPr>
          <w:rFonts w:ascii="Garamond" w:hAnsi="Garamond"/>
        </w:rPr>
        <w:t xml:space="preserve"> reconstructing</w:t>
      </w:r>
      <w:r w:rsidR="00D054EF" w:rsidRPr="0020629B">
        <w:rPr>
          <w:rFonts w:ascii="Garamond" w:hAnsi="Garamond"/>
        </w:rPr>
        <w:t>)</w:t>
      </w:r>
      <w:r w:rsidR="006C3F86" w:rsidRPr="0020629B">
        <w:rPr>
          <w:rFonts w:ascii="Garamond" w:hAnsi="Garamond"/>
        </w:rPr>
        <w:t xml:space="preserve"> a complex pattern</w:t>
      </w:r>
      <w:r w:rsidR="004246EF" w:rsidRPr="0020629B">
        <w:rPr>
          <w:rFonts w:ascii="Garamond" w:hAnsi="Garamond"/>
        </w:rPr>
        <w:t xml:space="preserve"> of clauses and </w:t>
      </w:r>
      <w:proofErr w:type="spellStart"/>
      <w:r w:rsidR="004246EF" w:rsidRPr="0020629B">
        <w:rPr>
          <w:rFonts w:ascii="Garamond" w:hAnsi="Garamond"/>
        </w:rPr>
        <w:t>subclauses</w:t>
      </w:r>
      <w:proofErr w:type="spellEnd"/>
      <w:r w:rsidR="00575A3D" w:rsidRPr="0020629B">
        <w:rPr>
          <w:rFonts w:ascii="Garamond" w:hAnsi="Garamond"/>
        </w:rPr>
        <w:t>. This</w:t>
      </w:r>
      <w:r w:rsidR="00492D8D" w:rsidRPr="0020629B">
        <w:rPr>
          <w:rFonts w:ascii="Garamond" w:hAnsi="Garamond"/>
        </w:rPr>
        <w:t xml:space="preserve"> </w:t>
      </w:r>
      <w:r w:rsidR="00575A3D" w:rsidRPr="0020629B">
        <w:rPr>
          <w:rFonts w:ascii="Garamond" w:hAnsi="Garamond"/>
        </w:rPr>
        <w:t>work of composition i</w:t>
      </w:r>
      <w:r w:rsidR="00492D8D" w:rsidRPr="0020629B">
        <w:rPr>
          <w:rFonts w:ascii="Garamond" w:hAnsi="Garamond"/>
        </w:rPr>
        <w:t>s explicit</w:t>
      </w:r>
      <w:r w:rsidR="00604A95" w:rsidRPr="0020629B">
        <w:rPr>
          <w:rFonts w:ascii="Garamond" w:hAnsi="Garamond"/>
        </w:rPr>
        <w:t>ly notified</w:t>
      </w:r>
      <w:r w:rsidR="00492D8D" w:rsidRPr="0020629B">
        <w:rPr>
          <w:rFonts w:ascii="Garamond" w:hAnsi="Garamond"/>
        </w:rPr>
        <w:t xml:space="preserve"> in</w:t>
      </w:r>
      <w:r w:rsidR="004246EF" w:rsidRPr="0020629B">
        <w:rPr>
          <w:rFonts w:ascii="Garamond" w:hAnsi="Garamond"/>
        </w:rPr>
        <w:t xml:space="preserve"> phrase</w:t>
      </w:r>
      <w:r w:rsidR="00F30044" w:rsidRPr="0020629B">
        <w:rPr>
          <w:rFonts w:ascii="Garamond" w:hAnsi="Garamond"/>
        </w:rPr>
        <w:t>s</w:t>
      </w:r>
      <w:r w:rsidR="004246EF" w:rsidRPr="0020629B">
        <w:rPr>
          <w:rFonts w:ascii="Garamond" w:hAnsi="Garamond"/>
        </w:rPr>
        <w:t xml:space="preserve"> such as ‘where by reason of subsections (3) to (5) of section 4 of this Act</w:t>
      </w:r>
      <w:r w:rsidR="00ED0FA4">
        <w:rPr>
          <w:rFonts w:ascii="Garamond" w:hAnsi="Garamond"/>
        </w:rPr>
        <w:t xml:space="preserve"> </w:t>
      </w:r>
      <w:r w:rsidR="00F30044" w:rsidRPr="0020629B">
        <w:rPr>
          <w:rFonts w:ascii="Garamond" w:hAnsi="Garamond"/>
        </w:rPr>
        <w:t>…</w:t>
      </w:r>
      <w:r w:rsidR="004246EF" w:rsidRPr="0020629B">
        <w:rPr>
          <w:rFonts w:ascii="Garamond" w:hAnsi="Garamond"/>
        </w:rPr>
        <w:t xml:space="preserve">’, but </w:t>
      </w:r>
      <w:r w:rsidR="00575A3D" w:rsidRPr="0020629B">
        <w:rPr>
          <w:rFonts w:ascii="Garamond" w:hAnsi="Garamond"/>
        </w:rPr>
        <w:t>it is</w:t>
      </w:r>
      <w:r w:rsidR="004D5E3F" w:rsidRPr="0020629B">
        <w:rPr>
          <w:rFonts w:ascii="Garamond" w:hAnsi="Garamond"/>
        </w:rPr>
        <w:t xml:space="preserve"> already</w:t>
      </w:r>
      <w:r w:rsidR="00575A3D" w:rsidRPr="0020629B">
        <w:rPr>
          <w:rFonts w:ascii="Garamond" w:hAnsi="Garamond"/>
        </w:rPr>
        <w:t xml:space="preserve"> implicit in the most </w:t>
      </w:r>
      <w:r w:rsidR="004D5E3F" w:rsidRPr="0020629B">
        <w:rPr>
          <w:rFonts w:ascii="Garamond" w:hAnsi="Garamond"/>
        </w:rPr>
        <w:t>fundamental</w:t>
      </w:r>
      <w:r w:rsidR="00575A3D" w:rsidRPr="0020629B">
        <w:rPr>
          <w:rFonts w:ascii="Garamond" w:hAnsi="Garamond"/>
        </w:rPr>
        <w:t xml:space="preserve"> premise of drafting and interpretation, which is that statutes </w:t>
      </w:r>
      <w:r w:rsidR="006C3F86" w:rsidRPr="0020629B">
        <w:rPr>
          <w:rFonts w:ascii="Garamond" w:hAnsi="Garamond"/>
        </w:rPr>
        <w:t xml:space="preserve">should be </w:t>
      </w:r>
      <w:r w:rsidR="0006722C" w:rsidRPr="0020629B">
        <w:rPr>
          <w:rFonts w:ascii="Garamond" w:hAnsi="Garamond"/>
        </w:rPr>
        <w:t xml:space="preserve">addressed as </w:t>
      </w:r>
      <w:r w:rsidR="00492D8D" w:rsidRPr="0020629B">
        <w:rPr>
          <w:rFonts w:ascii="Garamond" w:hAnsi="Garamond"/>
        </w:rPr>
        <w:t>coherent compositions.</w:t>
      </w:r>
      <w:r w:rsidR="00F30044" w:rsidRPr="0020629B">
        <w:rPr>
          <w:rFonts w:ascii="Garamond" w:hAnsi="Garamond"/>
        </w:rPr>
        <w:t xml:space="preserve"> The</w:t>
      </w:r>
      <w:r w:rsidR="006C3F86" w:rsidRPr="0020629B">
        <w:rPr>
          <w:rFonts w:ascii="Garamond" w:hAnsi="Garamond"/>
        </w:rPr>
        <w:t xml:space="preserve"> spatiality of the text as a material </w:t>
      </w:r>
      <w:r w:rsidR="004D5E3F" w:rsidRPr="0020629B">
        <w:rPr>
          <w:rFonts w:ascii="Garamond" w:hAnsi="Garamond"/>
        </w:rPr>
        <w:t>body</w:t>
      </w:r>
      <w:r w:rsidR="006C3F86" w:rsidRPr="0020629B">
        <w:rPr>
          <w:rFonts w:ascii="Garamond" w:hAnsi="Garamond"/>
        </w:rPr>
        <w:t xml:space="preserve">, and the </w:t>
      </w:r>
      <w:r w:rsidR="004D5E3F" w:rsidRPr="0020629B">
        <w:rPr>
          <w:rFonts w:ascii="Garamond" w:hAnsi="Garamond"/>
        </w:rPr>
        <w:t xml:space="preserve">time it takes to </w:t>
      </w:r>
      <w:r w:rsidR="006C3F86" w:rsidRPr="0020629B">
        <w:rPr>
          <w:rFonts w:ascii="Garamond" w:hAnsi="Garamond"/>
        </w:rPr>
        <w:t>traverse th</w:t>
      </w:r>
      <w:r w:rsidR="004D5E3F" w:rsidRPr="0020629B">
        <w:rPr>
          <w:rFonts w:ascii="Garamond" w:hAnsi="Garamond"/>
        </w:rPr>
        <w:t xml:space="preserve">at body, </w:t>
      </w:r>
      <w:r w:rsidR="00436429" w:rsidRPr="0020629B">
        <w:rPr>
          <w:rFonts w:ascii="Garamond" w:hAnsi="Garamond"/>
        </w:rPr>
        <w:t>is the</w:t>
      </w:r>
      <w:r w:rsidR="007654AE" w:rsidRPr="0020629B">
        <w:rPr>
          <w:rFonts w:ascii="Garamond" w:hAnsi="Garamond"/>
        </w:rPr>
        <w:t xml:space="preserve"> dimension within which conditional f</w:t>
      </w:r>
      <w:r w:rsidR="00680823" w:rsidRPr="0020629B">
        <w:rPr>
          <w:rFonts w:ascii="Garamond" w:hAnsi="Garamond"/>
        </w:rPr>
        <w:t>utures are fabricated</w:t>
      </w:r>
      <w:r w:rsidR="00561354" w:rsidRPr="0020629B">
        <w:rPr>
          <w:rFonts w:ascii="Garamond" w:hAnsi="Garamond"/>
        </w:rPr>
        <w:t xml:space="preserve"> and projected ‘forwards’. </w:t>
      </w:r>
    </w:p>
    <w:p w14:paraId="66D275DD" w14:textId="6F413E56" w:rsidR="009B6A9D" w:rsidRDefault="00F30044" w:rsidP="009B6A9D">
      <w:pPr>
        <w:spacing w:line="480" w:lineRule="auto"/>
        <w:ind w:firstLine="720"/>
        <w:jc w:val="both"/>
        <w:rPr>
          <w:rFonts w:ascii="Garamond" w:hAnsi="Garamond"/>
        </w:rPr>
      </w:pPr>
      <w:r w:rsidRPr="0020629B">
        <w:rPr>
          <w:rFonts w:ascii="Garamond" w:hAnsi="Garamond"/>
        </w:rPr>
        <w:t>What does this have to do with the question of gender</w:t>
      </w:r>
      <w:r w:rsidR="0006722C" w:rsidRPr="0020629B">
        <w:rPr>
          <w:rFonts w:ascii="Garamond" w:hAnsi="Garamond"/>
        </w:rPr>
        <w:t>ed or non-gendered pronouns</w:t>
      </w:r>
      <w:r w:rsidRPr="0020629B">
        <w:rPr>
          <w:rFonts w:ascii="Garamond" w:hAnsi="Garamond"/>
        </w:rPr>
        <w:t>? Speculatively,</w:t>
      </w:r>
      <w:r w:rsidR="00AA667B" w:rsidRPr="0020629B">
        <w:rPr>
          <w:rFonts w:ascii="Garamond" w:hAnsi="Garamond"/>
        </w:rPr>
        <w:t xml:space="preserve"> there is</w:t>
      </w:r>
      <w:r w:rsidRPr="0020629B">
        <w:rPr>
          <w:rFonts w:ascii="Garamond" w:hAnsi="Garamond"/>
        </w:rPr>
        <w:t xml:space="preserve"> </w:t>
      </w:r>
      <w:r w:rsidR="00C47791" w:rsidRPr="0020629B">
        <w:rPr>
          <w:rFonts w:ascii="Garamond" w:hAnsi="Garamond"/>
        </w:rPr>
        <w:t xml:space="preserve">in the English context a deep historical connection between the grammatical or syntactical techniques of legislative drafting and the </w:t>
      </w:r>
      <w:r w:rsidR="00113E03" w:rsidRPr="0020629B">
        <w:rPr>
          <w:rFonts w:ascii="Garamond" w:hAnsi="Garamond"/>
        </w:rPr>
        <w:t>grammatical techniques of patrimonial</w:t>
      </w:r>
      <w:r w:rsidR="00C47791" w:rsidRPr="0020629B">
        <w:rPr>
          <w:rFonts w:ascii="Garamond" w:hAnsi="Garamond"/>
        </w:rPr>
        <w:t xml:space="preserve"> property. </w:t>
      </w:r>
      <w:r w:rsidR="00AA667B" w:rsidRPr="0020629B">
        <w:rPr>
          <w:rFonts w:ascii="Garamond" w:hAnsi="Garamond"/>
        </w:rPr>
        <w:t>The period from the sixteenth century onwards in which a profusion of</w:t>
      </w:r>
      <w:r w:rsidR="00C47791" w:rsidRPr="0020629B">
        <w:rPr>
          <w:rFonts w:ascii="Garamond" w:hAnsi="Garamond"/>
        </w:rPr>
        <w:t xml:space="preserve"> </w:t>
      </w:r>
      <w:r w:rsidR="00AA667B" w:rsidRPr="0020629B">
        <w:rPr>
          <w:rFonts w:ascii="Garamond" w:hAnsi="Garamond"/>
        </w:rPr>
        <w:t xml:space="preserve">charters, ordinances, proclamations and </w:t>
      </w:r>
      <w:r w:rsidR="00C47791" w:rsidRPr="0020629B">
        <w:rPr>
          <w:rFonts w:ascii="Garamond" w:hAnsi="Garamond"/>
        </w:rPr>
        <w:t>writs</w:t>
      </w:r>
      <w:r w:rsidR="00AA667B" w:rsidRPr="0020629B">
        <w:rPr>
          <w:rFonts w:ascii="Garamond" w:hAnsi="Garamond"/>
        </w:rPr>
        <w:t xml:space="preserve"> began to </w:t>
      </w:r>
      <w:r w:rsidR="00C47791" w:rsidRPr="0020629B">
        <w:rPr>
          <w:rFonts w:ascii="Garamond" w:hAnsi="Garamond"/>
        </w:rPr>
        <w:t>resolve itself into what we now recogni</w:t>
      </w:r>
      <w:r w:rsidR="00ED0FA4">
        <w:rPr>
          <w:rFonts w:ascii="Garamond" w:hAnsi="Garamond"/>
        </w:rPr>
        <w:t>s</w:t>
      </w:r>
      <w:r w:rsidR="00C47791" w:rsidRPr="0020629B">
        <w:rPr>
          <w:rFonts w:ascii="Garamond" w:hAnsi="Garamond"/>
        </w:rPr>
        <w:t>e as the form of the statute</w:t>
      </w:r>
      <w:r w:rsidR="00DC4A61" w:rsidRPr="0020629B">
        <w:rPr>
          <w:rFonts w:ascii="Garamond" w:hAnsi="Garamond"/>
        </w:rPr>
        <w:t xml:space="preserve"> (</w:t>
      </w:r>
      <w:r w:rsidR="00C47791" w:rsidRPr="0020629B">
        <w:rPr>
          <w:rFonts w:ascii="Garamond" w:hAnsi="Garamond"/>
        </w:rPr>
        <w:t>in large part through the agency of print</w:t>
      </w:r>
      <w:r w:rsidR="00DC4A61" w:rsidRPr="0020629B">
        <w:rPr>
          <w:rFonts w:ascii="Garamond" w:hAnsi="Garamond"/>
        </w:rPr>
        <w:t>)</w:t>
      </w:r>
      <w:r w:rsidR="00C47791" w:rsidRPr="0020629B">
        <w:rPr>
          <w:rFonts w:ascii="Garamond" w:hAnsi="Garamond"/>
        </w:rPr>
        <w:t xml:space="preserve"> </w:t>
      </w:r>
      <w:r w:rsidR="00AA667B" w:rsidRPr="0020629B">
        <w:rPr>
          <w:rFonts w:ascii="Garamond" w:hAnsi="Garamond"/>
        </w:rPr>
        <w:t xml:space="preserve">was also the period in which the early modern form of the patrimonial settlement was taking shape. </w:t>
      </w:r>
      <w:r w:rsidR="00DC4A61" w:rsidRPr="0020629B">
        <w:rPr>
          <w:rFonts w:ascii="Garamond" w:hAnsi="Garamond"/>
        </w:rPr>
        <w:t>T</w:t>
      </w:r>
      <w:r w:rsidR="00AA667B" w:rsidRPr="0020629B">
        <w:rPr>
          <w:rFonts w:ascii="Garamond" w:hAnsi="Garamond"/>
        </w:rPr>
        <w:t>reatises and decisions in the early modern period</w:t>
      </w:r>
      <w:r w:rsidR="00DC4A61" w:rsidRPr="0020629B">
        <w:rPr>
          <w:rFonts w:ascii="Garamond" w:hAnsi="Garamond"/>
        </w:rPr>
        <w:t xml:space="preserve"> </w:t>
      </w:r>
      <w:r w:rsidR="004D5E3F" w:rsidRPr="0020629B">
        <w:rPr>
          <w:rFonts w:ascii="Garamond" w:hAnsi="Garamond"/>
        </w:rPr>
        <w:t xml:space="preserve">quite explicitly made the </w:t>
      </w:r>
      <w:r w:rsidR="00DC4A61" w:rsidRPr="0020629B">
        <w:rPr>
          <w:rFonts w:ascii="Garamond" w:hAnsi="Garamond"/>
        </w:rPr>
        <w:t>analogy between the</w:t>
      </w:r>
      <w:r w:rsidR="004D5E3F" w:rsidRPr="0020629B">
        <w:rPr>
          <w:rFonts w:ascii="Garamond" w:hAnsi="Garamond"/>
        </w:rPr>
        <w:t>se</w:t>
      </w:r>
      <w:r w:rsidR="00DC4A61" w:rsidRPr="0020629B">
        <w:rPr>
          <w:rFonts w:ascii="Garamond" w:hAnsi="Garamond"/>
        </w:rPr>
        <w:t xml:space="preserve"> two contexts of textual drafting</w:t>
      </w:r>
      <w:r w:rsidR="00DF51DD" w:rsidRPr="0020629B">
        <w:rPr>
          <w:rFonts w:ascii="Garamond" w:hAnsi="Garamond"/>
        </w:rPr>
        <w:t>.</w:t>
      </w:r>
      <w:r w:rsidR="002432ED" w:rsidRPr="0020629B">
        <w:rPr>
          <w:rFonts w:ascii="Garamond" w:hAnsi="Garamond"/>
        </w:rPr>
        <w:t xml:space="preserve"> Figuratively, both </w:t>
      </w:r>
      <w:r w:rsidR="00DF51DD" w:rsidRPr="0020629B">
        <w:rPr>
          <w:rFonts w:ascii="Garamond" w:hAnsi="Garamond"/>
        </w:rPr>
        <w:t xml:space="preserve">applications of drafting </w:t>
      </w:r>
      <w:r w:rsidR="00E34C77" w:rsidRPr="0020629B">
        <w:rPr>
          <w:rFonts w:ascii="Garamond" w:hAnsi="Garamond"/>
        </w:rPr>
        <w:t xml:space="preserve">technique </w:t>
      </w:r>
      <w:r w:rsidR="00A962AD" w:rsidRPr="0020629B">
        <w:rPr>
          <w:rFonts w:ascii="Garamond" w:hAnsi="Garamond"/>
        </w:rPr>
        <w:t>sought to</w:t>
      </w:r>
      <w:r w:rsidR="002432ED" w:rsidRPr="0020629B">
        <w:rPr>
          <w:rFonts w:ascii="Garamond" w:hAnsi="Garamond"/>
        </w:rPr>
        <w:t xml:space="preserve"> convey or pass something into the future, by means of grammatical, syntactical, </w:t>
      </w:r>
      <w:r w:rsidR="002F7B31" w:rsidRPr="0020629B">
        <w:rPr>
          <w:rFonts w:ascii="Garamond" w:hAnsi="Garamond"/>
        </w:rPr>
        <w:t xml:space="preserve">and </w:t>
      </w:r>
      <w:r w:rsidR="002432ED" w:rsidRPr="0020629B">
        <w:rPr>
          <w:rFonts w:ascii="Garamond" w:hAnsi="Garamond"/>
        </w:rPr>
        <w:t>textual switches that</w:t>
      </w:r>
      <w:r w:rsidR="00A962AD" w:rsidRPr="0020629B">
        <w:rPr>
          <w:rFonts w:ascii="Garamond" w:hAnsi="Garamond"/>
        </w:rPr>
        <w:t xml:space="preserve"> </w:t>
      </w:r>
      <w:r w:rsidR="007654AE" w:rsidRPr="0020629B">
        <w:rPr>
          <w:rFonts w:ascii="Garamond" w:hAnsi="Garamond"/>
        </w:rPr>
        <w:t>materiali</w:t>
      </w:r>
      <w:r w:rsidR="005307E2">
        <w:rPr>
          <w:rFonts w:ascii="Garamond" w:hAnsi="Garamond"/>
        </w:rPr>
        <w:t>s</w:t>
      </w:r>
      <w:r w:rsidR="007654AE" w:rsidRPr="0020629B">
        <w:rPr>
          <w:rFonts w:ascii="Garamond" w:hAnsi="Garamond"/>
        </w:rPr>
        <w:t>ed</w:t>
      </w:r>
      <w:r w:rsidR="00A962AD" w:rsidRPr="0020629B">
        <w:rPr>
          <w:rFonts w:ascii="Garamond" w:hAnsi="Garamond"/>
        </w:rPr>
        <w:t xml:space="preserve"> </w:t>
      </w:r>
      <w:r w:rsidR="002F7B31" w:rsidRPr="0020629B">
        <w:rPr>
          <w:rFonts w:ascii="Garamond" w:hAnsi="Garamond"/>
        </w:rPr>
        <w:t xml:space="preserve">future occasions or events </w:t>
      </w:r>
      <w:r w:rsidR="007654AE" w:rsidRPr="0020629B">
        <w:rPr>
          <w:rFonts w:ascii="Garamond" w:hAnsi="Garamond"/>
        </w:rPr>
        <w:t xml:space="preserve">into textual elements that </w:t>
      </w:r>
      <w:r w:rsidR="004B58DF" w:rsidRPr="0020629B">
        <w:rPr>
          <w:rFonts w:ascii="Garamond" w:hAnsi="Garamond"/>
        </w:rPr>
        <w:t xml:space="preserve">could </w:t>
      </w:r>
      <w:r w:rsidR="00561354" w:rsidRPr="0020629B">
        <w:rPr>
          <w:rFonts w:ascii="Garamond" w:hAnsi="Garamond"/>
        </w:rPr>
        <w:t xml:space="preserve">be grasped and arrayed in the </w:t>
      </w:r>
      <w:r w:rsidR="004B58DF" w:rsidRPr="0020629B">
        <w:rPr>
          <w:rFonts w:ascii="Garamond" w:hAnsi="Garamond"/>
        </w:rPr>
        <w:t xml:space="preserve">present. </w:t>
      </w:r>
      <w:r w:rsidR="004D47A0" w:rsidRPr="0020629B">
        <w:rPr>
          <w:rFonts w:ascii="Garamond" w:hAnsi="Garamond"/>
        </w:rPr>
        <w:t>T</w:t>
      </w:r>
      <w:r w:rsidR="00CD0E85" w:rsidRPr="0020629B">
        <w:rPr>
          <w:rFonts w:ascii="Garamond" w:hAnsi="Garamond"/>
        </w:rPr>
        <w:t xml:space="preserve">he temporalities of suspension, reversion, and ‘for so long as’ that defined patrimonial estates and </w:t>
      </w:r>
      <w:r w:rsidR="00CD0E85" w:rsidRPr="0020629B">
        <w:rPr>
          <w:rFonts w:ascii="Garamond" w:hAnsi="Garamond"/>
        </w:rPr>
        <w:lastRenderedPageBreak/>
        <w:t xml:space="preserve">interests were </w:t>
      </w:r>
      <w:r w:rsidR="00774AE7" w:rsidRPr="0020629B">
        <w:rPr>
          <w:rFonts w:ascii="Garamond" w:hAnsi="Garamond"/>
        </w:rPr>
        <w:t xml:space="preserve">‘made of’ grammar. Property, as </w:t>
      </w:r>
      <w:r w:rsidR="004B58DF" w:rsidRPr="0020629B">
        <w:rPr>
          <w:rFonts w:ascii="Garamond" w:hAnsi="Garamond"/>
        </w:rPr>
        <w:t xml:space="preserve">an </w:t>
      </w:r>
      <w:r w:rsidR="00774AE7" w:rsidRPr="0020629B">
        <w:rPr>
          <w:rFonts w:ascii="Garamond" w:hAnsi="Garamond"/>
        </w:rPr>
        <w:t>economic, symbolic, and</w:t>
      </w:r>
      <w:r w:rsidR="009A02D1" w:rsidRPr="0020629B">
        <w:rPr>
          <w:rFonts w:ascii="Garamond" w:hAnsi="Garamond"/>
        </w:rPr>
        <w:t xml:space="preserve"> </w:t>
      </w:r>
      <w:proofErr w:type="spellStart"/>
      <w:r w:rsidR="009A02D1" w:rsidRPr="0020629B">
        <w:rPr>
          <w:rFonts w:ascii="Garamond" w:hAnsi="Garamond"/>
        </w:rPr>
        <w:t>ethopoietic</w:t>
      </w:r>
      <w:proofErr w:type="spellEnd"/>
      <w:r w:rsidR="009A02D1" w:rsidRPr="0020629B">
        <w:rPr>
          <w:rFonts w:ascii="Garamond" w:hAnsi="Garamond"/>
        </w:rPr>
        <w:t xml:space="preserve"> </w:t>
      </w:r>
      <w:r w:rsidR="00774AE7" w:rsidRPr="0020629B">
        <w:rPr>
          <w:rFonts w:ascii="Garamond" w:hAnsi="Garamond"/>
        </w:rPr>
        <w:t xml:space="preserve">substance, </w:t>
      </w:r>
      <w:r w:rsidR="004B58DF" w:rsidRPr="0020629B">
        <w:rPr>
          <w:rFonts w:ascii="Garamond" w:hAnsi="Garamond"/>
        </w:rPr>
        <w:t>was materiali</w:t>
      </w:r>
      <w:r w:rsidR="008A1975">
        <w:rPr>
          <w:rFonts w:ascii="Garamond" w:hAnsi="Garamond"/>
        </w:rPr>
        <w:t>s</w:t>
      </w:r>
      <w:r w:rsidR="004B58DF" w:rsidRPr="0020629B">
        <w:rPr>
          <w:rFonts w:ascii="Garamond" w:hAnsi="Garamond"/>
        </w:rPr>
        <w:t xml:space="preserve">ed </w:t>
      </w:r>
      <w:r w:rsidR="00436429" w:rsidRPr="0020629B">
        <w:rPr>
          <w:rFonts w:ascii="Garamond" w:hAnsi="Garamond"/>
        </w:rPr>
        <w:t xml:space="preserve">and articulated </w:t>
      </w:r>
      <w:r w:rsidR="004B58DF" w:rsidRPr="0020629B">
        <w:rPr>
          <w:rFonts w:ascii="Garamond" w:hAnsi="Garamond"/>
        </w:rPr>
        <w:t>gramma</w:t>
      </w:r>
      <w:r w:rsidR="00CD0E85" w:rsidRPr="0020629B">
        <w:rPr>
          <w:rFonts w:ascii="Garamond" w:hAnsi="Garamond"/>
        </w:rPr>
        <w:t>tically</w:t>
      </w:r>
      <w:r w:rsidR="00680823" w:rsidRPr="0020629B">
        <w:rPr>
          <w:rFonts w:ascii="Garamond" w:hAnsi="Garamond"/>
        </w:rPr>
        <w:t xml:space="preserve">, and </w:t>
      </w:r>
      <w:r w:rsidR="00E57CBF" w:rsidRPr="0020629B">
        <w:rPr>
          <w:rFonts w:ascii="Garamond" w:hAnsi="Garamond"/>
        </w:rPr>
        <w:t>worked its way into the social according to the</w:t>
      </w:r>
      <w:r w:rsidR="00561354" w:rsidRPr="0020629B">
        <w:rPr>
          <w:rFonts w:ascii="Garamond" w:hAnsi="Garamond"/>
        </w:rPr>
        <w:t xml:space="preserve"> capacities of technical grammar to channel time. </w:t>
      </w:r>
    </w:p>
    <w:p w14:paraId="2E268931" w14:textId="4538FC5C" w:rsidR="009B6A9D" w:rsidRDefault="004630E6" w:rsidP="009B6A9D">
      <w:pPr>
        <w:spacing w:line="480" w:lineRule="auto"/>
        <w:ind w:firstLine="720"/>
        <w:jc w:val="both"/>
        <w:rPr>
          <w:rFonts w:ascii="Garamond" w:hAnsi="Garamond"/>
        </w:rPr>
      </w:pPr>
      <w:r w:rsidRPr="0020629B">
        <w:rPr>
          <w:rFonts w:ascii="Garamond" w:hAnsi="Garamond"/>
        </w:rPr>
        <w:t>P</w:t>
      </w:r>
      <w:r w:rsidR="0033782E" w:rsidRPr="0020629B">
        <w:rPr>
          <w:rFonts w:ascii="Garamond" w:hAnsi="Garamond"/>
        </w:rPr>
        <w:t xml:space="preserve">atrimonial settlements are </w:t>
      </w:r>
      <w:r w:rsidR="005A7AF8" w:rsidRPr="0020629B">
        <w:rPr>
          <w:rFonts w:ascii="Garamond" w:hAnsi="Garamond"/>
        </w:rPr>
        <w:t xml:space="preserve">a familiar </w:t>
      </w:r>
      <w:r w:rsidR="0033782E" w:rsidRPr="0020629B">
        <w:rPr>
          <w:rFonts w:ascii="Garamond" w:hAnsi="Garamond"/>
        </w:rPr>
        <w:t xml:space="preserve">part of </w:t>
      </w:r>
      <w:r w:rsidR="005A7AF8" w:rsidRPr="0020629B">
        <w:rPr>
          <w:rFonts w:ascii="Garamond" w:hAnsi="Garamond"/>
        </w:rPr>
        <w:t>the</w:t>
      </w:r>
      <w:r w:rsidR="0033782E" w:rsidRPr="0020629B">
        <w:rPr>
          <w:rFonts w:ascii="Garamond" w:hAnsi="Garamond"/>
        </w:rPr>
        <w:t xml:space="preserve"> history of </w:t>
      </w:r>
      <w:r w:rsidR="005A7AF8" w:rsidRPr="0020629B">
        <w:rPr>
          <w:rFonts w:ascii="Garamond" w:hAnsi="Garamond"/>
        </w:rPr>
        <w:t xml:space="preserve">sex, </w:t>
      </w:r>
      <w:r w:rsidR="0033782E" w:rsidRPr="0020629B">
        <w:rPr>
          <w:rFonts w:ascii="Garamond" w:hAnsi="Garamond"/>
        </w:rPr>
        <w:t>gender</w:t>
      </w:r>
      <w:r w:rsidR="005A7AF8" w:rsidRPr="0020629B">
        <w:rPr>
          <w:rFonts w:ascii="Garamond" w:hAnsi="Garamond"/>
        </w:rPr>
        <w:t xml:space="preserve">, and power, precisely because the channelling of time was premised on sexual difference. With legislative drafting in mind, what is relevant </w:t>
      </w:r>
      <w:r w:rsidR="007B57F9" w:rsidRPr="0020629B">
        <w:rPr>
          <w:rFonts w:ascii="Garamond" w:hAnsi="Garamond"/>
        </w:rPr>
        <w:t xml:space="preserve">here </w:t>
      </w:r>
      <w:r w:rsidR="005A7AF8" w:rsidRPr="0020629B">
        <w:rPr>
          <w:rFonts w:ascii="Garamond" w:hAnsi="Garamond"/>
        </w:rPr>
        <w:t xml:space="preserve">is the implication of gender in </w:t>
      </w:r>
      <w:r w:rsidR="0033782E" w:rsidRPr="0020629B">
        <w:rPr>
          <w:rFonts w:ascii="Garamond" w:hAnsi="Garamond"/>
        </w:rPr>
        <w:t>grammatical technique</w:t>
      </w:r>
      <w:r w:rsidR="005A7AF8" w:rsidRPr="0020629B">
        <w:rPr>
          <w:rFonts w:ascii="Garamond" w:hAnsi="Garamond"/>
        </w:rPr>
        <w:t>.</w:t>
      </w:r>
      <w:r w:rsidR="0033782E" w:rsidRPr="0020629B">
        <w:rPr>
          <w:rFonts w:ascii="Garamond" w:hAnsi="Garamond"/>
        </w:rPr>
        <w:t xml:space="preserve"> </w:t>
      </w:r>
      <w:r w:rsidR="005A7AF8" w:rsidRPr="0020629B">
        <w:rPr>
          <w:rFonts w:ascii="Garamond" w:hAnsi="Garamond"/>
        </w:rPr>
        <w:t>The association can be</w:t>
      </w:r>
      <w:r w:rsidR="0033782E" w:rsidRPr="0020629B">
        <w:rPr>
          <w:rFonts w:ascii="Garamond" w:hAnsi="Garamond"/>
        </w:rPr>
        <w:t xml:space="preserve"> illustrated by refer</w:t>
      </w:r>
      <w:r w:rsidR="005A7AF8" w:rsidRPr="0020629B">
        <w:rPr>
          <w:rFonts w:ascii="Garamond" w:hAnsi="Garamond"/>
        </w:rPr>
        <w:t>ence to the drafting techniques that were used to give married women what was then called</w:t>
      </w:r>
      <w:r w:rsidR="0033782E" w:rsidRPr="0020629B">
        <w:rPr>
          <w:rFonts w:ascii="Garamond" w:hAnsi="Garamond"/>
        </w:rPr>
        <w:t xml:space="preserve"> </w:t>
      </w:r>
      <w:r w:rsidR="005A7AF8" w:rsidRPr="0020629B">
        <w:rPr>
          <w:rFonts w:ascii="Garamond" w:hAnsi="Garamond"/>
        </w:rPr>
        <w:t>‘</w:t>
      </w:r>
      <w:r w:rsidR="0033782E" w:rsidRPr="0020629B">
        <w:rPr>
          <w:rFonts w:ascii="Garamond" w:hAnsi="Garamond"/>
        </w:rPr>
        <w:t>separate property</w:t>
      </w:r>
      <w:r w:rsidR="005A7AF8" w:rsidRPr="0020629B">
        <w:rPr>
          <w:rFonts w:ascii="Garamond" w:hAnsi="Garamond"/>
        </w:rPr>
        <w:t>’</w:t>
      </w:r>
      <w:r w:rsidR="0033782E" w:rsidRPr="0020629B">
        <w:rPr>
          <w:rFonts w:ascii="Garamond" w:hAnsi="Garamond"/>
        </w:rPr>
        <w:t>, a</w:t>
      </w:r>
      <w:r w:rsidR="005A7AF8" w:rsidRPr="0020629B">
        <w:rPr>
          <w:rFonts w:ascii="Garamond" w:hAnsi="Garamond"/>
        </w:rPr>
        <w:t xml:space="preserve"> form that generates the </w:t>
      </w:r>
      <w:r w:rsidR="0033782E" w:rsidRPr="0020629B">
        <w:rPr>
          <w:rFonts w:ascii="Garamond" w:hAnsi="Garamond"/>
        </w:rPr>
        <w:t xml:space="preserve">drama in </w:t>
      </w:r>
      <w:proofErr w:type="spellStart"/>
      <w:r w:rsidR="00FA0A6D" w:rsidRPr="0020629B">
        <w:rPr>
          <w:rFonts w:ascii="Garamond" w:hAnsi="Garamond"/>
        </w:rPr>
        <w:t>Wilkie</w:t>
      </w:r>
      <w:proofErr w:type="spellEnd"/>
      <w:r w:rsidR="00FA0A6D" w:rsidRPr="0020629B">
        <w:rPr>
          <w:rFonts w:ascii="Garamond" w:hAnsi="Garamond"/>
        </w:rPr>
        <w:t xml:space="preserve"> Collins’ </w:t>
      </w:r>
      <w:r w:rsidR="00FA0A6D" w:rsidRPr="0020629B">
        <w:rPr>
          <w:rFonts w:ascii="Garamond" w:hAnsi="Garamond"/>
          <w:i/>
          <w:iCs/>
        </w:rPr>
        <w:t>The Woman in White</w:t>
      </w:r>
      <w:r w:rsidR="002F55B1">
        <w:rPr>
          <w:rFonts w:ascii="Garamond" w:hAnsi="Garamond"/>
        </w:rPr>
        <w:t>.</w:t>
      </w:r>
      <w:r w:rsidR="00FA0A6D" w:rsidRPr="0020629B">
        <w:rPr>
          <w:rStyle w:val="FootnoteReference"/>
          <w:rFonts w:ascii="Garamond" w:hAnsi="Garamond"/>
        </w:rPr>
        <w:footnoteReference w:id="2"/>
      </w:r>
      <w:r w:rsidR="00FA0A6D" w:rsidRPr="0020629B">
        <w:rPr>
          <w:rFonts w:ascii="Garamond" w:hAnsi="Garamond"/>
        </w:rPr>
        <w:t xml:space="preserve"> </w:t>
      </w:r>
      <w:r w:rsidR="0033782E" w:rsidRPr="0020629B">
        <w:rPr>
          <w:rFonts w:ascii="Garamond" w:hAnsi="Garamond"/>
        </w:rPr>
        <w:t>A settlement might give a</w:t>
      </w:r>
      <w:r w:rsidR="00256816" w:rsidRPr="0020629B">
        <w:rPr>
          <w:rFonts w:ascii="Garamond" w:hAnsi="Garamond"/>
        </w:rPr>
        <w:t xml:space="preserve"> wife a power of appointment over </w:t>
      </w:r>
      <w:r w:rsidR="0033782E" w:rsidRPr="0020629B">
        <w:rPr>
          <w:rFonts w:ascii="Garamond" w:hAnsi="Garamond"/>
        </w:rPr>
        <w:t xml:space="preserve">‘her’ </w:t>
      </w:r>
      <w:r w:rsidR="00256816" w:rsidRPr="0020629B">
        <w:rPr>
          <w:rFonts w:ascii="Garamond" w:hAnsi="Garamond"/>
        </w:rPr>
        <w:t>property</w:t>
      </w:r>
      <w:r w:rsidR="006E3C0C" w:rsidRPr="0020629B">
        <w:rPr>
          <w:rFonts w:ascii="Garamond" w:hAnsi="Garamond"/>
        </w:rPr>
        <w:t>;</w:t>
      </w:r>
      <w:r w:rsidR="00256816" w:rsidRPr="0020629B">
        <w:rPr>
          <w:rFonts w:ascii="Garamond" w:hAnsi="Garamond"/>
        </w:rPr>
        <w:t xml:space="preserve"> that is, a right to select – ‘appoint’ – the beneficiaries. </w:t>
      </w:r>
      <w:r w:rsidR="00FA0A6D" w:rsidRPr="0020629B">
        <w:rPr>
          <w:rFonts w:ascii="Garamond" w:hAnsi="Garamond"/>
        </w:rPr>
        <w:t xml:space="preserve">But </w:t>
      </w:r>
      <w:r w:rsidR="00256816" w:rsidRPr="0020629B">
        <w:rPr>
          <w:rFonts w:ascii="Garamond" w:hAnsi="Garamond"/>
        </w:rPr>
        <w:t xml:space="preserve">the theory was that in exercising </w:t>
      </w:r>
      <w:r w:rsidR="0033782E" w:rsidRPr="0020629B">
        <w:rPr>
          <w:rFonts w:ascii="Garamond" w:hAnsi="Garamond"/>
        </w:rPr>
        <w:t>this power</w:t>
      </w:r>
      <w:r w:rsidR="00256816" w:rsidRPr="0020629B">
        <w:rPr>
          <w:rFonts w:ascii="Garamond" w:hAnsi="Garamond"/>
        </w:rPr>
        <w:t xml:space="preserve">, the wife </w:t>
      </w:r>
      <w:r w:rsidRPr="0020629B">
        <w:rPr>
          <w:rFonts w:ascii="Garamond" w:hAnsi="Garamond"/>
        </w:rPr>
        <w:t>acted</w:t>
      </w:r>
      <w:r w:rsidR="00256816" w:rsidRPr="0020629B">
        <w:rPr>
          <w:rFonts w:ascii="Garamond" w:hAnsi="Garamond"/>
        </w:rPr>
        <w:t xml:space="preserve"> as the agent of the person who made the settlement; she was, as the lawyers put it, ‘a mere conduit pipe’. </w:t>
      </w:r>
      <w:r w:rsidRPr="0020629B">
        <w:rPr>
          <w:rFonts w:ascii="Garamond" w:hAnsi="Garamond"/>
        </w:rPr>
        <w:t xml:space="preserve">The writing by which she appointed beneficiaries was treated as if it </w:t>
      </w:r>
      <w:r w:rsidR="008C74C7" w:rsidRPr="0020629B">
        <w:rPr>
          <w:rFonts w:ascii="Garamond" w:hAnsi="Garamond"/>
        </w:rPr>
        <w:t>had been</w:t>
      </w:r>
      <w:r w:rsidRPr="0020629B">
        <w:rPr>
          <w:rFonts w:ascii="Garamond" w:hAnsi="Garamond"/>
        </w:rPr>
        <w:t xml:space="preserve"> a </w:t>
      </w:r>
      <w:r w:rsidR="006E3C0C" w:rsidRPr="0020629B">
        <w:rPr>
          <w:rFonts w:ascii="Garamond" w:hAnsi="Garamond"/>
        </w:rPr>
        <w:t>clause</w:t>
      </w:r>
      <w:r w:rsidRPr="0020629B">
        <w:rPr>
          <w:rFonts w:ascii="Garamond" w:hAnsi="Garamond"/>
        </w:rPr>
        <w:t xml:space="preserve"> of the original settlement</w:t>
      </w:r>
      <w:r w:rsidR="00FA0A6D" w:rsidRPr="0020629B">
        <w:rPr>
          <w:rFonts w:ascii="Garamond" w:hAnsi="Garamond"/>
        </w:rPr>
        <w:t>: ‘</w:t>
      </w:r>
      <w:r w:rsidR="00256816" w:rsidRPr="0020629B">
        <w:rPr>
          <w:rFonts w:ascii="Garamond" w:hAnsi="Garamond"/>
        </w:rPr>
        <w:t>as if the limitation in that writing of appointment had been contained in [the] deed creating the power; for they take from the author of the power</w:t>
      </w:r>
      <w:r w:rsidR="007011C4" w:rsidRPr="0020629B">
        <w:rPr>
          <w:rFonts w:ascii="Garamond" w:hAnsi="Garamond"/>
        </w:rPr>
        <w:t>.’</w:t>
      </w:r>
      <w:r w:rsidR="007011C4" w:rsidRPr="0020629B">
        <w:rPr>
          <w:rStyle w:val="FootnoteReference"/>
          <w:rFonts w:ascii="Garamond" w:hAnsi="Garamond"/>
        </w:rPr>
        <w:footnoteReference w:id="3"/>
      </w:r>
      <w:r w:rsidR="007011C4" w:rsidRPr="0020629B">
        <w:rPr>
          <w:rFonts w:ascii="Garamond" w:hAnsi="Garamond"/>
        </w:rPr>
        <w:t xml:space="preserve"> </w:t>
      </w:r>
      <w:r w:rsidRPr="0020629B">
        <w:rPr>
          <w:rFonts w:ascii="Garamond" w:hAnsi="Garamond"/>
        </w:rPr>
        <w:t xml:space="preserve">So the </w:t>
      </w:r>
      <w:r w:rsidR="008C74C7" w:rsidRPr="0020629B">
        <w:rPr>
          <w:rFonts w:ascii="Garamond" w:hAnsi="Garamond"/>
        </w:rPr>
        <w:t xml:space="preserve">‘real time’ </w:t>
      </w:r>
      <w:r w:rsidRPr="0020629B">
        <w:rPr>
          <w:rFonts w:ascii="Garamond" w:hAnsi="Garamond"/>
        </w:rPr>
        <w:t xml:space="preserve">agency of the </w:t>
      </w:r>
      <w:r w:rsidR="008C74C7" w:rsidRPr="0020629B">
        <w:rPr>
          <w:rFonts w:ascii="Garamond" w:hAnsi="Garamond"/>
        </w:rPr>
        <w:t>woman</w:t>
      </w:r>
      <w:r w:rsidRPr="0020629B">
        <w:rPr>
          <w:rFonts w:ascii="Garamond" w:hAnsi="Garamond"/>
        </w:rPr>
        <w:t xml:space="preserve"> was e</w:t>
      </w:r>
      <w:r w:rsidR="0066558A" w:rsidRPr="0020629B">
        <w:rPr>
          <w:rFonts w:ascii="Garamond" w:hAnsi="Garamond"/>
        </w:rPr>
        <w:t>rased, or rather eclipsed, by the inert</w:t>
      </w:r>
      <w:r w:rsidR="006E3C0C" w:rsidRPr="0020629B">
        <w:rPr>
          <w:rFonts w:ascii="Garamond" w:hAnsi="Garamond"/>
        </w:rPr>
        <w:t xml:space="preserve">, already-completed, </w:t>
      </w:r>
      <w:r w:rsidR="0066558A" w:rsidRPr="0020629B">
        <w:rPr>
          <w:rFonts w:ascii="Garamond" w:hAnsi="Garamond"/>
        </w:rPr>
        <w:t xml:space="preserve">temporalities that were fabricated by drafting technique. The </w:t>
      </w:r>
      <w:r w:rsidR="008C74C7" w:rsidRPr="0020629B">
        <w:rPr>
          <w:rFonts w:ascii="Garamond" w:hAnsi="Garamond"/>
        </w:rPr>
        <w:t>figure</w:t>
      </w:r>
      <w:r w:rsidR="0066558A" w:rsidRPr="0020629B">
        <w:rPr>
          <w:rFonts w:ascii="Garamond" w:hAnsi="Garamond"/>
        </w:rPr>
        <w:t xml:space="preserve"> of eclipse is clearly expressed in the l</w:t>
      </w:r>
      <w:r w:rsidR="0033782E" w:rsidRPr="0020629B">
        <w:rPr>
          <w:rFonts w:ascii="Garamond" w:hAnsi="Garamond"/>
        </w:rPr>
        <w:t>awyers</w:t>
      </w:r>
      <w:r w:rsidR="0066558A" w:rsidRPr="0020629B">
        <w:rPr>
          <w:rFonts w:ascii="Garamond" w:hAnsi="Garamond"/>
        </w:rPr>
        <w:t>’</w:t>
      </w:r>
      <w:r w:rsidR="0033782E" w:rsidRPr="0020629B">
        <w:rPr>
          <w:rFonts w:ascii="Garamond" w:hAnsi="Garamond"/>
        </w:rPr>
        <w:t xml:space="preserve"> distin</w:t>
      </w:r>
      <w:r w:rsidR="0066558A" w:rsidRPr="0020629B">
        <w:rPr>
          <w:rFonts w:ascii="Garamond" w:hAnsi="Garamond"/>
        </w:rPr>
        <w:t>ction</w:t>
      </w:r>
      <w:r w:rsidR="0033782E" w:rsidRPr="0020629B">
        <w:rPr>
          <w:rFonts w:ascii="Garamond" w:hAnsi="Garamond"/>
        </w:rPr>
        <w:t xml:space="preserve"> between ‘substance’ and ‘shadow’, between ‘the </w:t>
      </w:r>
      <w:r w:rsidR="0033782E" w:rsidRPr="0020629B">
        <w:rPr>
          <w:rFonts w:ascii="Garamond" w:hAnsi="Garamond"/>
          <w:i/>
        </w:rPr>
        <w:t xml:space="preserve">passing </w:t>
      </w:r>
      <w:r w:rsidR="0033782E" w:rsidRPr="0020629B">
        <w:rPr>
          <w:rFonts w:ascii="Garamond" w:hAnsi="Garamond"/>
        </w:rPr>
        <w:t xml:space="preserve">of the estate which is the </w:t>
      </w:r>
      <w:r w:rsidR="0033782E" w:rsidRPr="0020629B">
        <w:rPr>
          <w:rFonts w:ascii="Garamond" w:hAnsi="Garamond"/>
          <w:i/>
        </w:rPr>
        <w:t>substance</w:t>
      </w:r>
      <w:r w:rsidR="0033782E" w:rsidRPr="0020629B">
        <w:rPr>
          <w:rFonts w:ascii="Garamond" w:hAnsi="Garamond"/>
        </w:rPr>
        <w:t xml:space="preserve"> of the deed [and] the </w:t>
      </w:r>
      <w:r w:rsidR="0033782E" w:rsidRPr="0020629B">
        <w:rPr>
          <w:rFonts w:ascii="Garamond" w:hAnsi="Garamond"/>
          <w:i/>
        </w:rPr>
        <w:t>manner how</w:t>
      </w:r>
      <w:r w:rsidR="0033782E" w:rsidRPr="0020629B">
        <w:rPr>
          <w:rFonts w:ascii="Garamond" w:hAnsi="Garamond"/>
        </w:rPr>
        <w:t xml:space="preserve"> which is the </w:t>
      </w:r>
      <w:r w:rsidR="0033782E" w:rsidRPr="0020629B">
        <w:rPr>
          <w:rFonts w:ascii="Garamond" w:hAnsi="Garamond"/>
          <w:i/>
        </w:rPr>
        <w:t>shadow</w:t>
      </w:r>
      <w:r w:rsidR="0033782E" w:rsidRPr="0020629B">
        <w:rPr>
          <w:rFonts w:ascii="Garamond" w:hAnsi="Garamond"/>
        </w:rPr>
        <w:t>...</w:t>
      </w:r>
      <w:r w:rsidR="007011C4" w:rsidRPr="0020629B">
        <w:rPr>
          <w:rFonts w:ascii="Garamond" w:hAnsi="Garamond"/>
        </w:rPr>
        <w:t>’</w:t>
      </w:r>
      <w:r w:rsidR="007011C4" w:rsidRPr="0020629B">
        <w:rPr>
          <w:rStyle w:val="FootnoteReference"/>
          <w:rFonts w:ascii="Garamond" w:hAnsi="Garamond"/>
        </w:rPr>
        <w:footnoteReference w:id="4"/>
      </w:r>
    </w:p>
    <w:p w14:paraId="51B112C0" w14:textId="1E74D1BB" w:rsidR="009B6A9D" w:rsidRDefault="0066558A" w:rsidP="009B6A9D">
      <w:pPr>
        <w:spacing w:line="480" w:lineRule="auto"/>
        <w:ind w:firstLine="720"/>
        <w:jc w:val="both"/>
        <w:rPr>
          <w:rFonts w:ascii="Garamond" w:hAnsi="Garamond"/>
        </w:rPr>
      </w:pPr>
      <w:r w:rsidRPr="0020629B">
        <w:rPr>
          <w:rFonts w:ascii="Garamond" w:hAnsi="Garamond"/>
        </w:rPr>
        <w:t>Here, s</w:t>
      </w:r>
      <w:r w:rsidR="0033782E" w:rsidRPr="0020629B">
        <w:rPr>
          <w:rFonts w:ascii="Garamond" w:hAnsi="Garamond"/>
        </w:rPr>
        <w:t>ubstance and shado</w:t>
      </w:r>
      <w:r w:rsidRPr="0020629B">
        <w:rPr>
          <w:rFonts w:ascii="Garamond" w:hAnsi="Garamond"/>
        </w:rPr>
        <w:t>w</w:t>
      </w:r>
      <w:r w:rsidR="0033782E" w:rsidRPr="0020629B">
        <w:rPr>
          <w:rFonts w:ascii="Garamond" w:hAnsi="Garamond"/>
        </w:rPr>
        <w:t xml:space="preserve"> </w:t>
      </w:r>
      <w:r w:rsidRPr="0020629B">
        <w:rPr>
          <w:rFonts w:ascii="Garamond" w:hAnsi="Garamond"/>
        </w:rPr>
        <w:t>we</w:t>
      </w:r>
      <w:r w:rsidR="0033782E" w:rsidRPr="0020629B">
        <w:rPr>
          <w:rFonts w:ascii="Garamond" w:hAnsi="Garamond"/>
        </w:rPr>
        <w:t xml:space="preserve">re not people, they </w:t>
      </w:r>
      <w:r w:rsidRPr="0020629B">
        <w:rPr>
          <w:rFonts w:ascii="Garamond" w:hAnsi="Garamond"/>
        </w:rPr>
        <w:t>we</w:t>
      </w:r>
      <w:r w:rsidR="0033782E" w:rsidRPr="0020629B">
        <w:rPr>
          <w:rFonts w:ascii="Garamond" w:hAnsi="Garamond"/>
        </w:rPr>
        <w:t xml:space="preserve">re </w:t>
      </w:r>
      <w:r w:rsidR="008C74C7" w:rsidRPr="0020629B">
        <w:rPr>
          <w:rFonts w:ascii="Garamond" w:hAnsi="Garamond"/>
        </w:rPr>
        <w:t xml:space="preserve">primarily </w:t>
      </w:r>
      <w:r w:rsidR="0033782E" w:rsidRPr="0020629B">
        <w:rPr>
          <w:rFonts w:ascii="Garamond" w:hAnsi="Garamond"/>
        </w:rPr>
        <w:t>operations or documentary forms.</w:t>
      </w:r>
      <w:r w:rsidR="00BB19F9" w:rsidRPr="0020629B">
        <w:rPr>
          <w:rFonts w:ascii="Garamond" w:hAnsi="Garamond"/>
        </w:rPr>
        <w:t xml:space="preserve"> And these operations </w:t>
      </w:r>
      <w:r w:rsidR="00C0140E" w:rsidRPr="0020629B">
        <w:rPr>
          <w:rFonts w:ascii="Garamond" w:hAnsi="Garamond"/>
        </w:rPr>
        <w:t xml:space="preserve">brought into existence the gendered </w:t>
      </w:r>
      <w:r w:rsidR="008C74C7" w:rsidRPr="0020629B">
        <w:rPr>
          <w:rFonts w:ascii="Garamond" w:hAnsi="Garamond"/>
        </w:rPr>
        <w:t>attributes</w:t>
      </w:r>
      <w:r w:rsidR="00C0140E" w:rsidRPr="0020629B">
        <w:rPr>
          <w:rFonts w:ascii="Garamond" w:hAnsi="Garamond"/>
        </w:rPr>
        <w:t xml:space="preserve"> that they operationali</w:t>
      </w:r>
      <w:r w:rsidR="004219D4">
        <w:rPr>
          <w:rFonts w:ascii="Garamond" w:hAnsi="Garamond"/>
        </w:rPr>
        <w:t>s</w:t>
      </w:r>
      <w:r w:rsidR="00C0140E" w:rsidRPr="0020629B">
        <w:rPr>
          <w:rFonts w:ascii="Garamond" w:hAnsi="Garamond"/>
        </w:rPr>
        <w:t xml:space="preserve">ed. Neither ‘he’ nor ‘she’ referred to a substantial person; the qualities and competences of the ‘shadow’ were </w:t>
      </w:r>
      <w:r w:rsidR="00875836" w:rsidRPr="0020629B">
        <w:rPr>
          <w:rFonts w:ascii="Garamond" w:hAnsi="Garamond"/>
        </w:rPr>
        <w:t xml:space="preserve">strictly those that had to be assumed for this particular </w:t>
      </w:r>
      <w:r w:rsidR="00875836" w:rsidRPr="0020629B">
        <w:rPr>
          <w:rFonts w:ascii="Garamond" w:hAnsi="Garamond"/>
        </w:rPr>
        <w:lastRenderedPageBreak/>
        <w:t xml:space="preserve">transaction, for this particular moment, in order for </w:t>
      </w:r>
      <w:r w:rsidR="007A6DD5" w:rsidRPr="0020629B">
        <w:rPr>
          <w:rFonts w:ascii="Garamond" w:hAnsi="Garamond"/>
        </w:rPr>
        <w:t>this</w:t>
      </w:r>
      <w:r w:rsidR="00875836" w:rsidRPr="0020629B">
        <w:rPr>
          <w:rFonts w:ascii="Garamond" w:hAnsi="Garamond"/>
        </w:rPr>
        <w:t xml:space="preserve"> grammatically</w:t>
      </w:r>
      <w:r w:rsidR="007A6DD5" w:rsidRPr="0020629B">
        <w:rPr>
          <w:rFonts w:ascii="Garamond" w:hAnsi="Garamond"/>
        </w:rPr>
        <w:t>-</w:t>
      </w:r>
      <w:r w:rsidR="00875836" w:rsidRPr="0020629B">
        <w:rPr>
          <w:rFonts w:ascii="Garamond" w:hAnsi="Garamond"/>
        </w:rPr>
        <w:t>defined estate to ‘pass’ along a tem</w:t>
      </w:r>
      <w:r w:rsidR="007A6DD5" w:rsidRPr="0020629B">
        <w:rPr>
          <w:rFonts w:ascii="Garamond" w:hAnsi="Garamond"/>
        </w:rPr>
        <w:t xml:space="preserve">poral channel that was already written into the settlement. </w:t>
      </w:r>
      <w:r w:rsidR="00875836" w:rsidRPr="0020629B">
        <w:rPr>
          <w:rFonts w:ascii="Garamond" w:hAnsi="Garamond"/>
        </w:rPr>
        <w:t xml:space="preserve">In this mode of gender coding, </w:t>
      </w:r>
      <w:r w:rsidR="00C0140E" w:rsidRPr="0020629B">
        <w:rPr>
          <w:rFonts w:ascii="Garamond" w:hAnsi="Garamond"/>
        </w:rPr>
        <w:t>‘there is no consistent dichotomy, only a matrix of contrasts’, or ‘a prism that yields different patterns as it is turned’</w:t>
      </w:r>
      <w:r w:rsidR="00913A4D">
        <w:rPr>
          <w:rFonts w:ascii="Garamond" w:hAnsi="Garamond"/>
        </w:rPr>
        <w:t xml:space="preserve"> </w:t>
      </w:r>
      <w:r w:rsidR="00724EC7">
        <w:rPr>
          <w:rFonts w:ascii="Garamond" w:hAnsi="Garamond"/>
        </w:rPr>
        <w:fldChar w:fldCharType="begin"/>
      </w:r>
      <w:r w:rsidR="00724EC7">
        <w:rPr>
          <w:rFonts w:ascii="Garamond" w:hAnsi="Garamond"/>
        </w:rPr>
        <w:instrText xml:space="preserve"> ADDIN ZOTERO_ITEM CSL_CITATION {"citationID":"fXVK05I9","properties":{"formattedCitation":"(Strathern, 1980, p. 177)","plainCitation":"(Strathern, 1980, p. 177)","noteIndex":0},"citationItems":[{"id":3507,"uris":["http://zotero.org/users/1070015/items/HS3QNEIL"],"uri":["http://zotero.org/users/1070015/items/HS3QNEIL"],"itemData":{"id":3507,"type":"chapter","container-title":"Nature, Culture, and Gender","event-place":"Cambridge","ISBN":"978-0-521-23491-7","page":"173","publisher":"Cambridge University Press","publisher-place":"Cambridge","source":"Talis Aspire","title":"No Nature, No Culture: The Hagen case","title-short":"No Nature, No Culture","URL":"https://schwarzemilch.files.wordpress.com/2009/02/015_strathern-1998nnaturenculture_1.pdf","author":[{"family":"Strathern","given":"Marilyn"}],"editor":[{"family":"Strathern","given":"M."},{"family":"MacCormack","given":"C."}],"accessed":{"date-parts":[["2020",9,3]]},"issued":{"date-parts":[["1980"]]}},"locator":"177","label":"page"}],"schema":"https://github.com/citation-style-language/schema/raw/master/csl-citation.json"} </w:instrText>
      </w:r>
      <w:r w:rsidR="00724EC7">
        <w:rPr>
          <w:rFonts w:ascii="Garamond" w:hAnsi="Garamond"/>
        </w:rPr>
        <w:fldChar w:fldCharType="separate"/>
      </w:r>
      <w:r w:rsidR="00724EC7">
        <w:rPr>
          <w:rFonts w:ascii="Garamond" w:hAnsi="Garamond"/>
          <w:noProof/>
        </w:rPr>
        <w:t>(Strathern, 1980, p. 177)</w:t>
      </w:r>
      <w:r w:rsidR="00724EC7">
        <w:rPr>
          <w:rFonts w:ascii="Garamond" w:hAnsi="Garamond"/>
        </w:rPr>
        <w:fldChar w:fldCharType="end"/>
      </w:r>
      <w:r w:rsidR="00724EC7">
        <w:rPr>
          <w:rFonts w:ascii="Garamond" w:hAnsi="Garamond"/>
        </w:rPr>
        <w:t xml:space="preserve">. </w:t>
      </w:r>
      <w:r w:rsidR="00C0140E" w:rsidRPr="0020629B">
        <w:rPr>
          <w:rFonts w:ascii="Garamond" w:hAnsi="Garamond"/>
        </w:rPr>
        <w:t xml:space="preserve"> </w:t>
      </w:r>
      <w:r w:rsidR="007A6DD5" w:rsidRPr="0020629B">
        <w:rPr>
          <w:rFonts w:ascii="Garamond" w:hAnsi="Garamond"/>
        </w:rPr>
        <w:t xml:space="preserve">The question of who or what turns the prism brings us back to the deep patriarchal logic of settlements, </w:t>
      </w:r>
      <w:r w:rsidR="00057929" w:rsidRPr="0020629B">
        <w:rPr>
          <w:rFonts w:ascii="Garamond" w:hAnsi="Garamond"/>
        </w:rPr>
        <w:t>and</w:t>
      </w:r>
      <w:r w:rsidR="00802B4E" w:rsidRPr="0020629B">
        <w:rPr>
          <w:rFonts w:ascii="Garamond" w:hAnsi="Garamond"/>
        </w:rPr>
        <w:t xml:space="preserve"> also to the </w:t>
      </w:r>
      <w:r w:rsidR="006E3C0C" w:rsidRPr="0020629B">
        <w:rPr>
          <w:rFonts w:ascii="Garamond" w:hAnsi="Garamond"/>
        </w:rPr>
        <w:t xml:space="preserve">grammatical logic of legislation. </w:t>
      </w:r>
      <w:r w:rsidR="00802B4E" w:rsidRPr="0020629B">
        <w:rPr>
          <w:rFonts w:ascii="Garamond" w:hAnsi="Garamond"/>
        </w:rPr>
        <w:t xml:space="preserve">Even if I am wrong in suggesting that the technique of legislative drafting originated with the technique of drafting settlements, </w:t>
      </w:r>
      <w:r w:rsidR="00DF2AF9" w:rsidRPr="0020629B">
        <w:rPr>
          <w:rFonts w:ascii="Garamond" w:hAnsi="Garamond"/>
        </w:rPr>
        <w:t xml:space="preserve">even if </w:t>
      </w:r>
      <w:r w:rsidR="006E3C0C" w:rsidRPr="0020629B">
        <w:rPr>
          <w:rFonts w:ascii="Garamond" w:hAnsi="Garamond"/>
        </w:rPr>
        <w:t>the kinship is only</w:t>
      </w:r>
      <w:r w:rsidR="00DF2AF9" w:rsidRPr="0020629B">
        <w:rPr>
          <w:rFonts w:ascii="Garamond" w:hAnsi="Garamond"/>
        </w:rPr>
        <w:t xml:space="preserve"> analog</w:t>
      </w:r>
      <w:r w:rsidR="006E3C0C" w:rsidRPr="0020629B">
        <w:rPr>
          <w:rFonts w:ascii="Garamond" w:hAnsi="Garamond"/>
        </w:rPr>
        <w:t xml:space="preserve">ical, the </w:t>
      </w:r>
      <w:r w:rsidR="00802B4E" w:rsidRPr="0020629B">
        <w:rPr>
          <w:rFonts w:ascii="Garamond" w:hAnsi="Garamond"/>
        </w:rPr>
        <w:t>analogy</w:t>
      </w:r>
      <w:r w:rsidR="00DF2AF9" w:rsidRPr="0020629B">
        <w:rPr>
          <w:rFonts w:ascii="Garamond" w:hAnsi="Garamond"/>
        </w:rPr>
        <w:t xml:space="preserve"> illuminates</w:t>
      </w:r>
      <w:r w:rsidR="008C74C7" w:rsidRPr="0020629B">
        <w:rPr>
          <w:rFonts w:ascii="Garamond" w:hAnsi="Garamond"/>
        </w:rPr>
        <w:t xml:space="preserve"> one sense in which </w:t>
      </w:r>
      <w:r w:rsidR="00DF2AF9" w:rsidRPr="0020629B">
        <w:rPr>
          <w:rFonts w:ascii="Garamond" w:hAnsi="Garamond"/>
        </w:rPr>
        <w:t>legislative drafting techniques ‘have helped usher in specific legal and textual formations with attached concepts and ontologies that have travelled far and combined with other long-lasting bureaucratic and wider social understandings of gender’</w:t>
      </w:r>
      <w:r w:rsidR="00BE1DDF">
        <w:rPr>
          <w:rFonts w:ascii="Garamond" w:hAnsi="Garamond"/>
        </w:rPr>
        <w:t xml:space="preserve"> (Grabham, this issue)</w:t>
      </w:r>
      <w:r w:rsidR="00DF2AF9" w:rsidRPr="0020629B">
        <w:rPr>
          <w:rFonts w:ascii="Garamond" w:hAnsi="Garamond"/>
        </w:rPr>
        <w:t xml:space="preserve">. </w:t>
      </w:r>
    </w:p>
    <w:p w14:paraId="20D63D44" w14:textId="4AB0A78B" w:rsidR="009B6A9D" w:rsidRDefault="007B57F9" w:rsidP="009B6A9D">
      <w:pPr>
        <w:spacing w:line="480" w:lineRule="auto"/>
        <w:ind w:firstLine="720"/>
        <w:jc w:val="both"/>
        <w:rPr>
          <w:rFonts w:ascii="Garamond" w:hAnsi="Garamond"/>
        </w:rPr>
      </w:pPr>
      <w:r w:rsidRPr="0020629B">
        <w:rPr>
          <w:rFonts w:ascii="Garamond" w:hAnsi="Garamond"/>
        </w:rPr>
        <w:t xml:space="preserve">If grammar and syntax have the capacity </w:t>
      </w:r>
      <w:r w:rsidR="00D164CC" w:rsidRPr="0020629B">
        <w:rPr>
          <w:rFonts w:ascii="Garamond" w:hAnsi="Garamond"/>
        </w:rPr>
        <w:t xml:space="preserve">to </w:t>
      </w:r>
      <w:r w:rsidRPr="0020629B">
        <w:rPr>
          <w:rFonts w:ascii="Garamond" w:hAnsi="Garamond"/>
        </w:rPr>
        <w:t xml:space="preserve">animate pronouns, and to generate </w:t>
      </w:r>
      <w:r w:rsidR="00D164CC" w:rsidRPr="0020629B">
        <w:rPr>
          <w:rFonts w:ascii="Garamond" w:hAnsi="Garamond"/>
        </w:rPr>
        <w:t xml:space="preserve">and recombine </w:t>
      </w:r>
      <w:r w:rsidRPr="0020629B">
        <w:rPr>
          <w:rFonts w:ascii="Garamond" w:hAnsi="Garamond"/>
        </w:rPr>
        <w:t>the attributes that are associated with them, then</w:t>
      </w:r>
      <w:r w:rsidR="007011C4" w:rsidRPr="0020629B">
        <w:rPr>
          <w:rFonts w:ascii="Garamond" w:hAnsi="Garamond"/>
        </w:rPr>
        <w:t xml:space="preserve"> experiment</w:t>
      </w:r>
      <w:r w:rsidR="006810E0" w:rsidRPr="0020629B">
        <w:rPr>
          <w:rFonts w:ascii="Garamond" w:hAnsi="Garamond"/>
        </w:rPr>
        <w:t>s in</w:t>
      </w:r>
      <w:r w:rsidRPr="0020629B">
        <w:rPr>
          <w:rFonts w:ascii="Garamond" w:hAnsi="Garamond"/>
        </w:rPr>
        <w:t xml:space="preserve"> </w:t>
      </w:r>
      <w:r w:rsidR="00F13BAD" w:rsidRPr="0020629B">
        <w:rPr>
          <w:rFonts w:ascii="Garamond" w:hAnsi="Garamond"/>
        </w:rPr>
        <w:t>‘drafting otherwise’</w:t>
      </w:r>
      <w:r w:rsidR="007011C4" w:rsidRPr="0020629B">
        <w:rPr>
          <w:rFonts w:ascii="Garamond" w:hAnsi="Garamond"/>
        </w:rPr>
        <w:t xml:space="preserve"> </w:t>
      </w:r>
      <w:r w:rsidR="00F13BAD" w:rsidRPr="0020629B">
        <w:rPr>
          <w:rFonts w:ascii="Garamond" w:hAnsi="Garamond"/>
        </w:rPr>
        <w:t>migh</w:t>
      </w:r>
      <w:r w:rsidR="004A0328" w:rsidRPr="0020629B">
        <w:rPr>
          <w:rFonts w:ascii="Garamond" w:hAnsi="Garamond"/>
        </w:rPr>
        <w:t>t</w:t>
      </w:r>
      <w:r w:rsidR="006810E0" w:rsidRPr="0020629B">
        <w:rPr>
          <w:rFonts w:ascii="Garamond" w:hAnsi="Garamond"/>
        </w:rPr>
        <w:t xml:space="preserve"> also involve </w:t>
      </w:r>
      <w:r w:rsidR="00057929" w:rsidRPr="0020629B">
        <w:rPr>
          <w:rFonts w:ascii="Garamond" w:hAnsi="Garamond"/>
        </w:rPr>
        <w:t>working with</w:t>
      </w:r>
      <w:r w:rsidR="006810E0" w:rsidRPr="0020629B">
        <w:rPr>
          <w:rFonts w:ascii="Garamond" w:hAnsi="Garamond"/>
        </w:rPr>
        <w:t xml:space="preserve"> alternative modes of grammatical animation, modes which traverse the </w:t>
      </w:r>
      <w:proofErr w:type="spellStart"/>
      <w:r w:rsidR="006810E0" w:rsidRPr="0020629B">
        <w:rPr>
          <w:rFonts w:ascii="Garamond" w:hAnsi="Garamond"/>
        </w:rPr>
        <w:t>binarism</w:t>
      </w:r>
      <w:proofErr w:type="spellEnd"/>
      <w:r w:rsidR="006810E0" w:rsidRPr="0020629B">
        <w:rPr>
          <w:rFonts w:ascii="Garamond" w:hAnsi="Garamond"/>
        </w:rPr>
        <w:t xml:space="preserve"> that is essential to </w:t>
      </w:r>
      <w:r w:rsidR="007011C4" w:rsidRPr="0020629B">
        <w:rPr>
          <w:rFonts w:ascii="Garamond" w:hAnsi="Garamond"/>
        </w:rPr>
        <w:t>conditional moods or tenses</w:t>
      </w:r>
      <w:r w:rsidR="006810E0" w:rsidRPr="0020629B">
        <w:rPr>
          <w:rFonts w:ascii="Garamond" w:hAnsi="Garamond"/>
        </w:rPr>
        <w:t xml:space="preserve">. It might also involve reimagining the locus of legislative authorship itself. </w:t>
      </w:r>
      <w:r w:rsidR="00815F70" w:rsidRPr="0020629B">
        <w:rPr>
          <w:rFonts w:ascii="Garamond" w:hAnsi="Garamond"/>
        </w:rPr>
        <w:t>Doctrinally, legislative authorship is supposed to be merely instrument</w:t>
      </w:r>
      <w:r w:rsidR="00BE27A6" w:rsidRPr="0020629B">
        <w:rPr>
          <w:rFonts w:ascii="Garamond" w:hAnsi="Garamond"/>
        </w:rPr>
        <w:t>al</w:t>
      </w:r>
      <w:r w:rsidR="00815F70" w:rsidRPr="0020629B">
        <w:rPr>
          <w:rFonts w:ascii="Garamond" w:hAnsi="Garamond"/>
        </w:rPr>
        <w:t>,</w:t>
      </w:r>
      <w:r w:rsidR="00BE27A6" w:rsidRPr="0020629B">
        <w:rPr>
          <w:rFonts w:ascii="Garamond" w:hAnsi="Garamond"/>
        </w:rPr>
        <w:t xml:space="preserve"> </w:t>
      </w:r>
      <w:r w:rsidR="00815F70" w:rsidRPr="0020629B">
        <w:rPr>
          <w:rFonts w:ascii="Garamond" w:hAnsi="Garamond"/>
        </w:rPr>
        <w:t>to efface itself in the service of a political purpose</w:t>
      </w:r>
      <w:r w:rsidR="00BE27A6" w:rsidRPr="0020629B">
        <w:rPr>
          <w:rFonts w:ascii="Garamond" w:hAnsi="Garamond"/>
        </w:rPr>
        <w:t>.</w:t>
      </w:r>
      <w:r w:rsidR="00815F70" w:rsidRPr="0020629B">
        <w:rPr>
          <w:rFonts w:ascii="Garamond" w:hAnsi="Garamond"/>
        </w:rPr>
        <w:t xml:space="preserve"> </w:t>
      </w:r>
      <w:r w:rsidR="00BE27A6" w:rsidRPr="0020629B">
        <w:rPr>
          <w:rFonts w:ascii="Garamond" w:hAnsi="Garamond"/>
        </w:rPr>
        <w:t>H</w:t>
      </w:r>
      <w:r w:rsidR="00815F70" w:rsidRPr="0020629B">
        <w:rPr>
          <w:rFonts w:ascii="Garamond" w:hAnsi="Garamond"/>
        </w:rPr>
        <w:t xml:space="preserve">owever intelligent or creative it is, drafting always plays juridical ‘shadow’ to political ‘substance’. </w:t>
      </w:r>
      <w:r w:rsidR="007E23CA" w:rsidRPr="0020629B">
        <w:rPr>
          <w:rFonts w:ascii="Garamond" w:hAnsi="Garamond"/>
        </w:rPr>
        <w:t xml:space="preserve">And drafting works instrumentally because language works instrumentally. </w:t>
      </w:r>
      <w:r w:rsidR="00567051" w:rsidRPr="0020629B">
        <w:rPr>
          <w:rFonts w:ascii="Garamond" w:hAnsi="Garamond"/>
        </w:rPr>
        <w:t>To say, as do the</w:t>
      </w:r>
      <w:r w:rsidR="00A77E23" w:rsidRPr="0020629B">
        <w:rPr>
          <w:rFonts w:ascii="Garamond" w:hAnsi="Garamond"/>
        </w:rPr>
        <w:t xml:space="preserve"> legislative drafters</w:t>
      </w:r>
      <w:r w:rsidR="00567051" w:rsidRPr="0020629B">
        <w:rPr>
          <w:rFonts w:ascii="Garamond" w:hAnsi="Garamond"/>
        </w:rPr>
        <w:t>, that</w:t>
      </w:r>
      <w:r w:rsidR="00A77E23" w:rsidRPr="0020629B">
        <w:rPr>
          <w:rFonts w:ascii="Garamond" w:hAnsi="Garamond"/>
        </w:rPr>
        <w:t xml:space="preserve"> ‘</w:t>
      </w:r>
      <w:r w:rsidR="00BE27A6" w:rsidRPr="0020629B">
        <w:rPr>
          <w:rFonts w:ascii="Garamond" w:hAnsi="Garamond"/>
        </w:rPr>
        <w:t xml:space="preserve">the </w:t>
      </w:r>
      <w:r w:rsidR="00815F70" w:rsidRPr="0020629B">
        <w:rPr>
          <w:rFonts w:ascii="Garamond" w:hAnsi="Garamond"/>
        </w:rPr>
        <w:t>medium is not the message</w:t>
      </w:r>
      <w:r w:rsidR="003F5504" w:rsidRPr="0020629B">
        <w:rPr>
          <w:rFonts w:ascii="Garamond" w:hAnsi="Garamond"/>
        </w:rPr>
        <w:t>’</w:t>
      </w:r>
      <w:r w:rsidR="00A77E23" w:rsidRPr="0020629B">
        <w:rPr>
          <w:rFonts w:ascii="Garamond" w:hAnsi="Garamond"/>
        </w:rPr>
        <w:t xml:space="preserve">, </w:t>
      </w:r>
      <w:r w:rsidR="00567051" w:rsidRPr="0020629B">
        <w:rPr>
          <w:rFonts w:ascii="Garamond" w:hAnsi="Garamond"/>
        </w:rPr>
        <w:t>is to</w:t>
      </w:r>
      <w:r w:rsidR="00A77E23" w:rsidRPr="0020629B">
        <w:rPr>
          <w:rFonts w:ascii="Garamond" w:hAnsi="Garamond"/>
        </w:rPr>
        <w:t xml:space="preserve"> understan</w:t>
      </w:r>
      <w:r w:rsidR="002E7FEE" w:rsidRPr="0020629B">
        <w:rPr>
          <w:rFonts w:ascii="Garamond" w:hAnsi="Garamond"/>
        </w:rPr>
        <w:t xml:space="preserve">d </w:t>
      </w:r>
      <w:r w:rsidR="006128ED" w:rsidRPr="0020629B">
        <w:rPr>
          <w:rFonts w:ascii="Garamond" w:hAnsi="Garamond"/>
        </w:rPr>
        <w:t xml:space="preserve">technical drafting </w:t>
      </w:r>
      <w:r w:rsidR="002E7FEE" w:rsidRPr="0020629B">
        <w:rPr>
          <w:rFonts w:ascii="Garamond" w:hAnsi="Garamond"/>
        </w:rPr>
        <w:t xml:space="preserve">language </w:t>
      </w:r>
      <w:r w:rsidR="00567051" w:rsidRPr="0020629B">
        <w:rPr>
          <w:rFonts w:ascii="Garamond" w:hAnsi="Garamond"/>
        </w:rPr>
        <w:t xml:space="preserve">according to </w:t>
      </w:r>
      <w:r w:rsidR="006128ED" w:rsidRPr="0020629B">
        <w:rPr>
          <w:rFonts w:ascii="Garamond" w:hAnsi="Garamond"/>
        </w:rPr>
        <w:t xml:space="preserve">‘the theory of the </w:t>
      </w:r>
      <w:r w:rsidR="00B20707" w:rsidRPr="0020629B">
        <w:rPr>
          <w:rFonts w:ascii="Garamond" w:hAnsi="Garamond"/>
        </w:rPr>
        <w:t>postal</w:t>
      </w:r>
      <w:r w:rsidR="006128ED" w:rsidRPr="0020629B">
        <w:rPr>
          <w:rFonts w:ascii="Garamond" w:hAnsi="Garamond"/>
        </w:rPr>
        <w:t xml:space="preserve"> system’</w:t>
      </w:r>
      <w:r w:rsidR="00351FAD">
        <w:rPr>
          <w:rFonts w:ascii="Garamond" w:hAnsi="Garamond"/>
        </w:rPr>
        <w:t xml:space="preserve"> </w:t>
      </w:r>
      <w:r w:rsidR="00351FAD">
        <w:rPr>
          <w:rFonts w:ascii="Garamond" w:hAnsi="Garamond"/>
        </w:rPr>
        <w:fldChar w:fldCharType="begin"/>
      </w:r>
      <w:r w:rsidR="00351FAD">
        <w:rPr>
          <w:rFonts w:ascii="Garamond" w:hAnsi="Garamond"/>
        </w:rPr>
        <w:instrText xml:space="preserve"> ADDIN ZOTERO_ITEM CSL_CITATION {"citationID":"U2FFrsqA","properties":{"formattedCitation":"(Siegert, 1999)","plainCitation":"(Siegert, 1999)","noteIndex":0},"citationItems":[{"id":3509,"uris":["http://zotero.org/users/1070015/items/CL2TMJXN"],"uri":["http://zotero.org/users/1070015/items/CL2TMJXN"],"itemData":{"id":3509,"type":"book","abstract":"This book examines how one aspect of the social and technological situation of literature—namely, the postal system—determined how literature was produced and what was produced within literature. Language itself has the structure of a relay, where what is transmitted depends on a prior withholding. The social arrangements and technologies for achieving this transmission thus have had a particularly powerful impact on the imagination of literature as a medium.\n\nThe book has three parts. The first part reconstructs the postal conditions of classic and Romantic literature: the invention of postage in the seventeenth century, which transformed the postal system into a service meant to be used by the population (instead of by the prince alone); the sexualization of letter writing, which was introduced in the middle of the eighteenth century and changed the reading of a letter into an interpretation of intimate confessions of the soul; and Goethe’s turning of this new ontology of the letter into a logistics of literature whereby literary authorship was constructed by means of postal logistics, with the precision of engineering.\n\nThe second part analyzes nineteenth-century postal innovations that facilitated communication through letters and examines how literary works were able to live off such communication. These innovations included the reform of the post office; the invention of the postage stamp; the Universal Postal Union, which subjected letter writing to an economy of materials and uniform standards; and the telegraph and the telephone, which surpassed literature in terms of speed, economy, and analog-signal processing.\n\nIn the third part, on the basis of a close reading of Franz Kafka’s letters to his typist-fiancée, the author demonstrates how postal logistics of love and authorship have worked in the era of modern postal systems and technical media. Kafka’s correspondence is deciphered as a “war of nerves” waged by means of all available techniques and conditions of transmission.","language":"en","publisher":"Stanford University Press","title":"Relays: Literature as an Epoch of the Postal System | Bernhard Siegert Translated by Kevin Repp","title-short":"Relays","URL":"http://www.sup.org/books/title/?id=2322","author":[{"family":"Siegert","given":"Bernhard"}],"accessed":{"date-parts":[["2020",9,3]]},"issued":{"date-parts":[["1999"]]}}}],"schema":"https://github.com/citation-style-language/schema/raw/master/csl-citation.json"} </w:instrText>
      </w:r>
      <w:r w:rsidR="00351FAD">
        <w:rPr>
          <w:rFonts w:ascii="Garamond" w:hAnsi="Garamond"/>
        </w:rPr>
        <w:fldChar w:fldCharType="separate"/>
      </w:r>
      <w:r w:rsidR="00351FAD">
        <w:rPr>
          <w:rFonts w:ascii="Garamond" w:hAnsi="Garamond"/>
          <w:noProof/>
        </w:rPr>
        <w:t>(Siegert, 1999)</w:t>
      </w:r>
      <w:r w:rsidR="00351FAD">
        <w:rPr>
          <w:rFonts w:ascii="Garamond" w:hAnsi="Garamond"/>
        </w:rPr>
        <w:fldChar w:fldCharType="end"/>
      </w:r>
      <w:r w:rsidR="006128ED" w:rsidRPr="0020629B">
        <w:rPr>
          <w:rFonts w:ascii="Garamond" w:hAnsi="Garamond"/>
        </w:rPr>
        <w:t>.</w:t>
      </w:r>
      <w:r w:rsidR="00351FAD">
        <w:rPr>
          <w:rFonts w:ascii="Garamond" w:hAnsi="Garamond"/>
        </w:rPr>
        <w:t xml:space="preserve"> </w:t>
      </w:r>
      <w:r w:rsidR="00351FAD" w:rsidRPr="0020629B">
        <w:rPr>
          <w:rFonts w:ascii="Garamond" w:hAnsi="Garamond"/>
        </w:rPr>
        <w:t xml:space="preserve"> </w:t>
      </w:r>
      <w:r w:rsidR="006128ED" w:rsidRPr="0020629B">
        <w:rPr>
          <w:rFonts w:ascii="Garamond" w:hAnsi="Garamond"/>
        </w:rPr>
        <w:t>Th</w:t>
      </w:r>
      <w:r w:rsidR="00567051" w:rsidRPr="0020629B">
        <w:rPr>
          <w:rFonts w:ascii="Garamond" w:hAnsi="Garamond"/>
        </w:rPr>
        <w:t xml:space="preserve">e other side of that theory is the reality of a </w:t>
      </w:r>
      <w:proofErr w:type="spellStart"/>
      <w:r w:rsidR="00567051" w:rsidRPr="0020629B">
        <w:rPr>
          <w:rFonts w:ascii="Garamond" w:hAnsi="Garamond"/>
        </w:rPr>
        <w:t>medial</w:t>
      </w:r>
      <w:proofErr w:type="spellEnd"/>
      <w:r w:rsidR="00567051" w:rsidRPr="0020629B">
        <w:rPr>
          <w:rFonts w:ascii="Garamond" w:hAnsi="Garamond"/>
        </w:rPr>
        <w:t xml:space="preserve"> system that has already</w:t>
      </w:r>
      <w:r w:rsidR="00B20707" w:rsidRPr="0020629B">
        <w:rPr>
          <w:rFonts w:ascii="Garamond" w:hAnsi="Garamond"/>
        </w:rPr>
        <w:t xml:space="preserve"> c</w:t>
      </w:r>
      <w:r w:rsidR="00567051" w:rsidRPr="0020629B">
        <w:rPr>
          <w:rFonts w:ascii="Garamond" w:hAnsi="Garamond"/>
        </w:rPr>
        <w:t>ued up</w:t>
      </w:r>
      <w:r w:rsidR="00B20707" w:rsidRPr="0020629B">
        <w:rPr>
          <w:rFonts w:ascii="Garamond" w:hAnsi="Garamond"/>
        </w:rPr>
        <w:t xml:space="preserve"> the agencies of writer</w:t>
      </w:r>
      <w:r w:rsidR="00567051" w:rsidRPr="0020629B">
        <w:rPr>
          <w:rFonts w:ascii="Garamond" w:hAnsi="Garamond"/>
        </w:rPr>
        <w:t>s</w:t>
      </w:r>
      <w:r w:rsidR="00B20707" w:rsidRPr="0020629B">
        <w:rPr>
          <w:rFonts w:ascii="Garamond" w:hAnsi="Garamond"/>
        </w:rPr>
        <w:t xml:space="preserve"> and reader</w:t>
      </w:r>
      <w:r w:rsidR="00567051" w:rsidRPr="0020629B">
        <w:rPr>
          <w:rFonts w:ascii="Garamond" w:hAnsi="Garamond"/>
        </w:rPr>
        <w:t>s</w:t>
      </w:r>
      <w:r w:rsidR="00B20707" w:rsidRPr="0020629B">
        <w:rPr>
          <w:rFonts w:ascii="Garamond" w:hAnsi="Garamond"/>
        </w:rPr>
        <w:t xml:space="preserve">. </w:t>
      </w:r>
    </w:p>
    <w:p w14:paraId="47023793" w14:textId="597396EA" w:rsidR="004E5D2D" w:rsidRDefault="00057929" w:rsidP="009B6A9D">
      <w:pPr>
        <w:spacing w:line="480" w:lineRule="auto"/>
        <w:ind w:firstLine="720"/>
        <w:jc w:val="both"/>
        <w:rPr>
          <w:rFonts w:ascii="Garamond" w:hAnsi="Garamond"/>
        </w:rPr>
      </w:pPr>
      <w:r w:rsidRPr="0020629B">
        <w:rPr>
          <w:rFonts w:ascii="Garamond" w:hAnsi="Garamond"/>
        </w:rPr>
        <w:t>In</w:t>
      </w:r>
      <w:r w:rsidR="00B20707" w:rsidRPr="0020629B">
        <w:rPr>
          <w:rFonts w:ascii="Garamond" w:hAnsi="Garamond"/>
        </w:rPr>
        <w:t xml:space="preserve"> the case</w:t>
      </w:r>
      <w:r w:rsidR="00944649" w:rsidRPr="0020629B">
        <w:rPr>
          <w:rFonts w:ascii="Garamond" w:hAnsi="Garamond"/>
        </w:rPr>
        <w:t xml:space="preserve"> of </w:t>
      </w:r>
      <w:r w:rsidR="006810E0" w:rsidRPr="0020629B">
        <w:rPr>
          <w:rFonts w:ascii="Garamond" w:hAnsi="Garamond"/>
        </w:rPr>
        <w:t>legislative drafting</w:t>
      </w:r>
      <w:r w:rsidRPr="0020629B">
        <w:rPr>
          <w:rFonts w:ascii="Garamond" w:hAnsi="Garamond"/>
        </w:rPr>
        <w:t>,</w:t>
      </w:r>
      <w:r w:rsidR="006810E0" w:rsidRPr="0020629B">
        <w:rPr>
          <w:rFonts w:ascii="Garamond" w:hAnsi="Garamond"/>
        </w:rPr>
        <w:t xml:space="preserve"> </w:t>
      </w:r>
      <w:r w:rsidRPr="0020629B">
        <w:rPr>
          <w:rFonts w:ascii="Garamond" w:hAnsi="Garamond"/>
        </w:rPr>
        <w:t xml:space="preserve">the </w:t>
      </w:r>
      <w:r w:rsidR="00DB3446" w:rsidRPr="0020629B">
        <w:rPr>
          <w:rFonts w:ascii="Garamond" w:hAnsi="Garamond"/>
        </w:rPr>
        <w:t>medial technology of grammar and syntax</w:t>
      </w:r>
      <w:r w:rsidRPr="0020629B">
        <w:rPr>
          <w:rFonts w:ascii="Garamond" w:hAnsi="Garamond"/>
        </w:rPr>
        <w:t xml:space="preserve"> not only choreographs pronouns; it also </w:t>
      </w:r>
      <w:proofErr w:type="spellStart"/>
      <w:r w:rsidR="00090056" w:rsidRPr="0020629B">
        <w:rPr>
          <w:rFonts w:ascii="Garamond" w:hAnsi="Garamond"/>
        </w:rPr>
        <w:t>interpellate</w:t>
      </w:r>
      <w:r w:rsidRPr="0020629B">
        <w:rPr>
          <w:rFonts w:ascii="Garamond" w:hAnsi="Garamond"/>
        </w:rPr>
        <w:t>s</w:t>
      </w:r>
      <w:proofErr w:type="spellEnd"/>
      <w:r w:rsidR="00090056" w:rsidRPr="0020629B">
        <w:rPr>
          <w:rFonts w:ascii="Garamond" w:hAnsi="Garamond"/>
        </w:rPr>
        <w:t xml:space="preserve"> </w:t>
      </w:r>
      <w:r w:rsidRPr="0020629B">
        <w:rPr>
          <w:rFonts w:ascii="Garamond" w:hAnsi="Garamond"/>
        </w:rPr>
        <w:t xml:space="preserve">the drafter </w:t>
      </w:r>
      <w:r w:rsidR="00090056" w:rsidRPr="0020629B">
        <w:rPr>
          <w:rFonts w:ascii="Garamond" w:hAnsi="Garamond"/>
        </w:rPr>
        <w:t xml:space="preserve">into </w:t>
      </w:r>
      <w:r w:rsidRPr="0020629B">
        <w:rPr>
          <w:rFonts w:ascii="Garamond" w:hAnsi="Garamond"/>
        </w:rPr>
        <w:t xml:space="preserve">a particular authorial locus. The project of </w:t>
      </w:r>
      <w:r w:rsidR="00470157" w:rsidRPr="0020629B">
        <w:rPr>
          <w:rFonts w:ascii="Garamond" w:hAnsi="Garamond"/>
        </w:rPr>
        <w:t>fabricating conditional futures</w:t>
      </w:r>
      <w:r w:rsidR="009D28B1" w:rsidRPr="0020629B">
        <w:rPr>
          <w:rFonts w:ascii="Garamond" w:hAnsi="Garamond"/>
        </w:rPr>
        <w:t xml:space="preserve"> </w:t>
      </w:r>
      <w:r w:rsidR="00470157" w:rsidRPr="0020629B">
        <w:rPr>
          <w:rFonts w:ascii="Garamond" w:hAnsi="Garamond"/>
        </w:rPr>
        <w:t xml:space="preserve">locates the </w:t>
      </w:r>
      <w:r w:rsidR="009D28B1" w:rsidRPr="0020629B">
        <w:rPr>
          <w:rFonts w:ascii="Garamond" w:hAnsi="Garamond"/>
        </w:rPr>
        <w:t xml:space="preserve">drafter </w:t>
      </w:r>
      <w:r w:rsidR="00470157" w:rsidRPr="0020629B">
        <w:rPr>
          <w:rFonts w:ascii="Garamond" w:hAnsi="Garamond"/>
        </w:rPr>
        <w:t xml:space="preserve">themselves in the ‘time out of time’ </w:t>
      </w:r>
      <w:r w:rsidR="00470157" w:rsidRPr="0020629B">
        <w:rPr>
          <w:rFonts w:ascii="Garamond" w:hAnsi="Garamond"/>
        </w:rPr>
        <w:lastRenderedPageBreak/>
        <w:t xml:space="preserve">that is generated by those conditional futures. Engagement with the grammatical machinery </w:t>
      </w:r>
      <w:r w:rsidR="004E5D2D" w:rsidRPr="0020629B">
        <w:rPr>
          <w:rFonts w:ascii="Garamond" w:hAnsi="Garamond"/>
        </w:rPr>
        <w:t xml:space="preserve">might allow one not only to </w:t>
      </w:r>
      <w:r w:rsidRPr="0020629B">
        <w:rPr>
          <w:rFonts w:ascii="Garamond" w:hAnsi="Garamond"/>
        </w:rPr>
        <w:t xml:space="preserve">reinvent the modes of existence associated with pronouns, </w:t>
      </w:r>
      <w:r w:rsidR="004E5D2D" w:rsidRPr="0020629B">
        <w:rPr>
          <w:rFonts w:ascii="Garamond" w:hAnsi="Garamond"/>
        </w:rPr>
        <w:t xml:space="preserve">but also to </w:t>
      </w:r>
      <w:proofErr w:type="spellStart"/>
      <w:r w:rsidR="004E5D2D" w:rsidRPr="0020629B">
        <w:rPr>
          <w:rFonts w:ascii="Garamond" w:hAnsi="Garamond"/>
        </w:rPr>
        <w:t>retemporali</w:t>
      </w:r>
      <w:r w:rsidR="00065AE5">
        <w:rPr>
          <w:rFonts w:ascii="Garamond" w:hAnsi="Garamond"/>
        </w:rPr>
        <w:t>s</w:t>
      </w:r>
      <w:r w:rsidR="004E5D2D" w:rsidRPr="0020629B">
        <w:rPr>
          <w:rFonts w:ascii="Garamond" w:hAnsi="Garamond"/>
        </w:rPr>
        <w:t>e</w:t>
      </w:r>
      <w:proofErr w:type="spellEnd"/>
      <w:r w:rsidR="004E5D2D" w:rsidRPr="0020629B">
        <w:rPr>
          <w:rFonts w:ascii="Garamond" w:hAnsi="Garamond"/>
        </w:rPr>
        <w:t xml:space="preserve"> th</w:t>
      </w:r>
      <w:r w:rsidR="00554AD2" w:rsidRPr="0020629B">
        <w:rPr>
          <w:rFonts w:ascii="Garamond" w:hAnsi="Garamond"/>
        </w:rPr>
        <w:t>is</w:t>
      </w:r>
      <w:r w:rsidR="004E5D2D" w:rsidRPr="0020629B">
        <w:rPr>
          <w:rFonts w:ascii="Garamond" w:hAnsi="Garamond"/>
        </w:rPr>
        <w:t xml:space="preserve"> moment of authorship, to open it up to the possibilities of collaboration, displacement, </w:t>
      </w:r>
      <w:r w:rsidR="00554AD2" w:rsidRPr="0020629B">
        <w:rPr>
          <w:rFonts w:ascii="Garamond" w:hAnsi="Garamond"/>
        </w:rPr>
        <w:t>or ‘</w:t>
      </w:r>
      <w:proofErr w:type="spellStart"/>
      <w:r w:rsidR="00554AD2" w:rsidRPr="0020629B">
        <w:rPr>
          <w:rFonts w:ascii="Garamond" w:hAnsi="Garamond"/>
        </w:rPr>
        <w:t>desubstantiali</w:t>
      </w:r>
      <w:r w:rsidR="00065AE5">
        <w:rPr>
          <w:rFonts w:ascii="Garamond" w:hAnsi="Garamond"/>
        </w:rPr>
        <w:t>s</w:t>
      </w:r>
      <w:r w:rsidR="00554AD2" w:rsidRPr="0020629B">
        <w:rPr>
          <w:rFonts w:ascii="Garamond" w:hAnsi="Garamond"/>
        </w:rPr>
        <w:t>ation</w:t>
      </w:r>
      <w:proofErr w:type="spellEnd"/>
      <w:r w:rsidR="00554AD2" w:rsidRPr="0020629B">
        <w:rPr>
          <w:rFonts w:ascii="Garamond" w:hAnsi="Garamond"/>
        </w:rPr>
        <w:t>’</w:t>
      </w:r>
      <w:r w:rsidR="004E5D2D" w:rsidRPr="0020629B">
        <w:rPr>
          <w:rFonts w:ascii="Garamond" w:hAnsi="Garamond"/>
        </w:rPr>
        <w:t xml:space="preserve"> that would come from renouncing the position of ministerial mastery that drafters are still compelled to adopt. It might also allow one to take on the ancestrally patriarchal logic of drafting as the project of transmitting semantic capital into the future. </w:t>
      </w:r>
      <w:r w:rsidR="00554AD2" w:rsidRPr="0020629B">
        <w:rPr>
          <w:rFonts w:ascii="Garamond" w:hAnsi="Garamond"/>
        </w:rPr>
        <w:t xml:space="preserve">Of course, legislation is also a political process, and judges are still the officially </w:t>
      </w:r>
      <w:r w:rsidR="004E5D2D" w:rsidRPr="0020629B">
        <w:rPr>
          <w:rFonts w:ascii="Garamond" w:hAnsi="Garamond"/>
        </w:rPr>
        <w:t>privileged interpreters of legislation</w:t>
      </w:r>
      <w:r w:rsidR="00554AD2" w:rsidRPr="0020629B">
        <w:rPr>
          <w:rFonts w:ascii="Garamond" w:hAnsi="Garamond"/>
        </w:rPr>
        <w:t xml:space="preserve">, but </w:t>
      </w:r>
      <w:r w:rsidR="0028570B" w:rsidRPr="0020629B">
        <w:rPr>
          <w:rFonts w:ascii="Garamond" w:hAnsi="Garamond"/>
        </w:rPr>
        <w:t xml:space="preserve">with gender in mind </w:t>
      </w:r>
      <w:r w:rsidR="00F566DC" w:rsidRPr="0020629B">
        <w:rPr>
          <w:rFonts w:ascii="Garamond" w:hAnsi="Garamond"/>
        </w:rPr>
        <w:t xml:space="preserve">experimentation with ‘legal form’ (to use Emily’s phrase) might be just the place to begin to unfold the political potential of legislation. To </w:t>
      </w:r>
      <w:r w:rsidR="00554AD2" w:rsidRPr="0020629B">
        <w:rPr>
          <w:rFonts w:ascii="Garamond" w:hAnsi="Garamond"/>
        </w:rPr>
        <w:t xml:space="preserve">return to the </w:t>
      </w:r>
      <w:r w:rsidR="004E5D2D" w:rsidRPr="0020629B">
        <w:rPr>
          <w:rFonts w:ascii="Garamond" w:hAnsi="Garamond"/>
        </w:rPr>
        <w:t xml:space="preserve">theme of medium and message, the </w:t>
      </w:r>
      <w:r w:rsidR="00951AC5" w:rsidRPr="0020629B">
        <w:rPr>
          <w:rFonts w:ascii="Garamond" w:hAnsi="Garamond"/>
        </w:rPr>
        <w:t>fact that</w:t>
      </w:r>
      <w:r w:rsidR="004E5D2D" w:rsidRPr="0020629B">
        <w:rPr>
          <w:rFonts w:ascii="Garamond" w:hAnsi="Garamond"/>
        </w:rPr>
        <w:t xml:space="preserve"> legislative texts</w:t>
      </w:r>
      <w:r w:rsidR="00951AC5" w:rsidRPr="0020629B">
        <w:rPr>
          <w:rFonts w:ascii="Garamond" w:hAnsi="Garamond"/>
        </w:rPr>
        <w:t xml:space="preserve"> now exist as digital forms </w:t>
      </w:r>
      <w:r w:rsidR="00F566DC" w:rsidRPr="0020629B">
        <w:rPr>
          <w:rFonts w:ascii="Garamond" w:hAnsi="Garamond"/>
        </w:rPr>
        <w:t xml:space="preserve">might open them up to the kind of transformative modes of authorship – distributed creativity – that are </w:t>
      </w:r>
      <w:r w:rsidR="00951AC5" w:rsidRPr="0020629B">
        <w:rPr>
          <w:rFonts w:ascii="Garamond" w:hAnsi="Garamond"/>
        </w:rPr>
        <w:t>exemplified</w:t>
      </w:r>
      <w:r w:rsidR="00F566DC" w:rsidRPr="0020629B">
        <w:rPr>
          <w:rFonts w:ascii="Garamond" w:hAnsi="Garamond"/>
        </w:rPr>
        <w:t xml:space="preserve"> in </w:t>
      </w:r>
      <w:r w:rsidR="00951AC5" w:rsidRPr="0020629B">
        <w:rPr>
          <w:rFonts w:ascii="Garamond" w:hAnsi="Garamond"/>
        </w:rPr>
        <w:t>practices such as fan fiction. In particular, and although it works as pornography or ‘</w:t>
      </w:r>
      <w:proofErr w:type="spellStart"/>
      <w:r w:rsidR="00951AC5" w:rsidRPr="0020629B">
        <w:rPr>
          <w:rFonts w:ascii="Garamond" w:hAnsi="Garamond"/>
        </w:rPr>
        <w:t>postpornography</w:t>
      </w:r>
      <w:proofErr w:type="spellEnd"/>
      <w:r w:rsidR="00951AC5" w:rsidRPr="0020629B">
        <w:rPr>
          <w:rFonts w:ascii="Garamond" w:hAnsi="Garamond"/>
        </w:rPr>
        <w:t xml:space="preserve">’, the genre of slash fiction offers a sense of how writing practices in the digital era </w:t>
      </w:r>
      <w:r w:rsidR="00BA71B8">
        <w:rPr>
          <w:rFonts w:ascii="Garamond" w:hAnsi="Garamond"/>
        </w:rPr>
        <w:t>can perform or ‘</w:t>
      </w:r>
      <w:proofErr w:type="spellStart"/>
      <w:r w:rsidR="00BA71B8">
        <w:rPr>
          <w:rFonts w:ascii="Garamond" w:hAnsi="Garamond"/>
        </w:rPr>
        <w:t>entextualis</w:t>
      </w:r>
      <w:r w:rsidR="00BF0DAE" w:rsidRPr="0020629B">
        <w:rPr>
          <w:rFonts w:ascii="Garamond" w:hAnsi="Garamond"/>
        </w:rPr>
        <w:t>e</w:t>
      </w:r>
      <w:proofErr w:type="spellEnd"/>
      <w:r w:rsidR="00BF0DAE" w:rsidRPr="0020629B">
        <w:rPr>
          <w:rFonts w:ascii="Garamond" w:hAnsi="Garamond"/>
        </w:rPr>
        <w:t>’ gender otherwise</w:t>
      </w:r>
      <w:r w:rsidR="00F95910">
        <w:rPr>
          <w:rFonts w:ascii="Garamond" w:hAnsi="Garamond"/>
        </w:rPr>
        <w:t xml:space="preserve"> </w:t>
      </w:r>
      <w:r w:rsidR="00F95910">
        <w:rPr>
          <w:rFonts w:ascii="Garamond" w:hAnsi="Garamond"/>
        </w:rPr>
        <w:fldChar w:fldCharType="begin"/>
      </w:r>
      <w:r w:rsidR="00B94A4E">
        <w:rPr>
          <w:rFonts w:ascii="Garamond" w:hAnsi="Garamond"/>
        </w:rPr>
        <w:instrText xml:space="preserve"> ADDIN ZOTERO_ITEM CSL_CITATION {"citationID":"qNcEBNgQ","properties":{"formattedCitation":"(Willis, 2016)","plainCitation":"(Willis, 2016)","noteIndex":0},"citationItems":[{"id":3511,"uris":["http://zotero.org/users/1070015/items/XRZ8HQJQ"],"uri":["http://zotero.org/users/1070015/items/XRZ8HQJQ"],"itemData":{"id":3511,"type":"article-journal","container-title":"Parallax","issue":"3","page":"290-311","title":"Writing the Fables of Sexual Difference: Slash Fiction as Technology of Gender:","volume":"22","author":[{"family":"Willis","given":"Ika"}],"issued":{"date-parts":[["2016"]]}}}],"schema":"https://github.com/citation-style-language/schema/raw/master/csl-citation.json"} </w:instrText>
      </w:r>
      <w:r w:rsidR="00F95910">
        <w:rPr>
          <w:rFonts w:ascii="Garamond" w:hAnsi="Garamond"/>
        </w:rPr>
        <w:fldChar w:fldCharType="separate"/>
      </w:r>
      <w:r w:rsidR="00B94A4E">
        <w:rPr>
          <w:rFonts w:ascii="Garamond" w:hAnsi="Garamond"/>
          <w:noProof/>
        </w:rPr>
        <w:t>(Willis, 2016)</w:t>
      </w:r>
      <w:r w:rsidR="00F95910">
        <w:rPr>
          <w:rFonts w:ascii="Garamond" w:hAnsi="Garamond"/>
        </w:rPr>
        <w:fldChar w:fldCharType="end"/>
      </w:r>
      <w:r w:rsidR="0028570B" w:rsidRPr="0020629B">
        <w:rPr>
          <w:rFonts w:ascii="Garamond" w:hAnsi="Garamond"/>
        </w:rPr>
        <w:t>.</w:t>
      </w:r>
    </w:p>
    <w:p w14:paraId="55BE3A8D" w14:textId="644AA4F2" w:rsidR="00B94A4E" w:rsidRDefault="00B94A4E" w:rsidP="00B94A4E">
      <w:pPr>
        <w:spacing w:line="480" w:lineRule="auto"/>
        <w:jc w:val="both"/>
        <w:rPr>
          <w:rFonts w:ascii="Garamond" w:hAnsi="Garamond"/>
        </w:rPr>
      </w:pPr>
    </w:p>
    <w:p w14:paraId="1EA6C07B" w14:textId="03CA4B48" w:rsidR="00B94A4E" w:rsidRPr="00232EE9" w:rsidRDefault="00B94A4E" w:rsidP="00232EE9">
      <w:pPr>
        <w:pStyle w:val="Heading2"/>
      </w:pPr>
      <w:r w:rsidRPr="00232EE9">
        <w:t>References</w:t>
      </w:r>
    </w:p>
    <w:p w14:paraId="0A26EB9E" w14:textId="748F37BB" w:rsidR="00B94A4E" w:rsidRPr="00B94A4E" w:rsidRDefault="00B94A4E" w:rsidP="00B94A4E">
      <w:pPr>
        <w:pStyle w:val="Bibliography"/>
        <w:rPr>
          <w:rFonts w:ascii="Garamond" w:hAnsi="Garamond"/>
        </w:rPr>
      </w:pPr>
      <w:r>
        <w:rPr>
          <w:rFonts w:ascii="Garamond" w:hAnsi="Garamond"/>
        </w:rPr>
        <w:fldChar w:fldCharType="begin"/>
      </w:r>
      <w:r>
        <w:rPr>
          <w:rFonts w:ascii="Garamond" w:hAnsi="Garamond"/>
        </w:rPr>
        <w:instrText xml:space="preserve"> ADDIN ZOTERO_BIBL {"uncited":[],"omitted":[],"custom":[]} CSL_BIBLIOGRAPHY </w:instrText>
      </w:r>
      <w:r>
        <w:rPr>
          <w:rFonts w:ascii="Garamond" w:hAnsi="Garamond"/>
        </w:rPr>
        <w:fldChar w:fldCharType="separate"/>
      </w:r>
      <w:proofErr w:type="spellStart"/>
      <w:r w:rsidRPr="00B94A4E">
        <w:rPr>
          <w:rFonts w:ascii="Garamond" w:hAnsi="Garamond"/>
        </w:rPr>
        <w:t>Siegert</w:t>
      </w:r>
      <w:proofErr w:type="spellEnd"/>
      <w:r w:rsidRPr="00B94A4E">
        <w:rPr>
          <w:rFonts w:ascii="Garamond" w:hAnsi="Garamond"/>
        </w:rPr>
        <w:t>, B., 1999. Relays: Literature as an Epoch of the Postal System</w:t>
      </w:r>
      <w:r w:rsidR="00D57DC9">
        <w:rPr>
          <w:rFonts w:ascii="Garamond" w:hAnsi="Garamond"/>
        </w:rPr>
        <w:t xml:space="preserve">. </w:t>
      </w:r>
      <w:r w:rsidRPr="00B94A4E">
        <w:rPr>
          <w:rFonts w:ascii="Garamond" w:hAnsi="Garamond"/>
        </w:rPr>
        <w:t>Translated by Kevin Repp. Stanford University Press</w:t>
      </w:r>
      <w:r w:rsidR="00BA71B8">
        <w:rPr>
          <w:rFonts w:ascii="Garamond" w:hAnsi="Garamond"/>
        </w:rPr>
        <w:t>, Stanford</w:t>
      </w:r>
      <w:r w:rsidRPr="00B94A4E">
        <w:rPr>
          <w:rFonts w:ascii="Garamond" w:hAnsi="Garamond"/>
        </w:rPr>
        <w:t>.</w:t>
      </w:r>
    </w:p>
    <w:p w14:paraId="1229BDB4" w14:textId="1FC6C941" w:rsidR="00B94A4E" w:rsidRPr="00B94A4E" w:rsidRDefault="00B94A4E" w:rsidP="00B94A4E">
      <w:pPr>
        <w:pStyle w:val="Bibliography"/>
        <w:rPr>
          <w:rFonts w:ascii="Garamond" w:hAnsi="Garamond"/>
        </w:rPr>
      </w:pPr>
      <w:r w:rsidRPr="00B94A4E">
        <w:rPr>
          <w:rFonts w:ascii="Garamond" w:hAnsi="Garamond"/>
        </w:rPr>
        <w:t>Strathern, M., 1980. No</w:t>
      </w:r>
      <w:r w:rsidR="00BA71B8">
        <w:rPr>
          <w:rFonts w:ascii="Garamond" w:hAnsi="Garamond"/>
        </w:rPr>
        <w:t xml:space="preserve"> Nature, No Culture: The Hagen C</w:t>
      </w:r>
      <w:r w:rsidRPr="00B94A4E">
        <w:rPr>
          <w:rFonts w:ascii="Garamond" w:hAnsi="Garamond"/>
        </w:rPr>
        <w:t>ase, in: Strathern, M., MacCormack, C. (Eds.), Nature, Culture, and Gender. Cambridge University Press, Cambridge, 17</w:t>
      </w:r>
      <w:r w:rsidR="004B4683">
        <w:rPr>
          <w:rFonts w:ascii="Garamond" w:hAnsi="Garamond"/>
        </w:rPr>
        <w:t>4</w:t>
      </w:r>
      <w:r w:rsidR="00BA71B8">
        <w:rPr>
          <w:rFonts w:ascii="Garamond" w:hAnsi="Garamond"/>
        </w:rPr>
        <w:t>–</w:t>
      </w:r>
      <w:r w:rsidR="004B4683">
        <w:rPr>
          <w:rFonts w:ascii="Garamond" w:hAnsi="Garamond"/>
        </w:rPr>
        <w:t>222</w:t>
      </w:r>
      <w:r w:rsidRPr="00B94A4E">
        <w:rPr>
          <w:rFonts w:ascii="Garamond" w:hAnsi="Garamond"/>
        </w:rPr>
        <w:t>.</w:t>
      </w:r>
    </w:p>
    <w:p w14:paraId="665F69CC" w14:textId="77777777" w:rsidR="00B94A4E" w:rsidRPr="00B94A4E" w:rsidRDefault="00B94A4E" w:rsidP="00B94A4E">
      <w:pPr>
        <w:pStyle w:val="Bibliography"/>
        <w:rPr>
          <w:rFonts w:ascii="Garamond" w:hAnsi="Garamond"/>
        </w:rPr>
      </w:pPr>
      <w:r w:rsidRPr="00B94A4E">
        <w:rPr>
          <w:rFonts w:ascii="Garamond" w:hAnsi="Garamond"/>
        </w:rPr>
        <w:t>Strathern, M., Butler, J., 2016. Before and After Gender: Sexual Mythologies of Everyday Life. Hau Books, Chicago.</w:t>
      </w:r>
    </w:p>
    <w:p w14:paraId="756A94EB" w14:textId="28237592" w:rsidR="00B94A4E" w:rsidRPr="00B94A4E" w:rsidRDefault="00B94A4E" w:rsidP="00B94A4E">
      <w:pPr>
        <w:pStyle w:val="Bibliography"/>
        <w:rPr>
          <w:rFonts w:ascii="Garamond" w:hAnsi="Garamond"/>
        </w:rPr>
      </w:pPr>
      <w:r w:rsidRPr="00B94A4E">
        <w:rPr>
          <w:rFonts w:ascii="Garamond" w:hAnsi="Garamond"/>
        </w:rPr>
        <w:t>Willis, I., 2016. Writing the Fables of Sexual Difference: Slash Fiction as Technology of Gender</w:t>
      </w:r>
      <w:r w:rsidR="00BA71B8">
        <w:rPr>
          <w:rFonts w:ascii="Garamond" w:hAnsi="Garamond"/>
        </w:rPr>
        <w:t>.</w:t>
      </w:r>
      <w:r w:rsidRPr="00B94A4E">
        <w:rPr>
          <w:rFonts w:ascii="Garamond" w:hAnsi="Garamond"/>
        </w:rPr>
        <w:t xml:space="preserve"> Parallax 22, 290–311.</w:t>
      </w:r>
    </w:p>
    <w:p w14:paraId="7407BCBA" w14:textId="57A0EB36" w:rsidR="00B94A4E" w:rsidRPr="0020629B" w:rsidRDefault="00B94A4E" w:rsidP="00B94A4E">
      <w:pPr>
        <w:spacing w:line="480" w:lineRule="auto"/>
        <w:jc w:val="both"/>
        <w:rPr>
          <w:rFonts w:ascii="Garamond" w:hAnsi="Garamond"/>
        </w:rPr>
      </w:pPr>
      <w:r>
        <w:rPr>
          <w:rFonts w:ascii="Garamond" w:hAnsi="Garamond"/>
        </w:rPr>
        <w:fldChar w:fldCharType="end"/>
      </w:r>
    </w:p>
    <w:p w14:paraId="3B1ADE6A" w14:textId="77777777" w:rsidR="00DA79A8" w:rsidRPr="0020629B" w:rsidRDefault="00DA79A8" w:rsidP="0020629B">
      <w:pPr>
        <w:spacing w:line="480" w:lineRule="auto"/>
        <w:jc w:val="both"/>
        <w:rPr>
          <w:rFonts w:ascii="Garamond" w:hAnsi="Garamond"/>
        </w:rPr>
      </w:pPr>
    </w:p>
    <w:sectPr w:rsidR="00DA79A8" w:rsidRPr="0020629B" w:rsidSect="00232EE9">
      <w:headerReference w:type="even" r:id="rId7"/>
      <w:headerReference w:type="default" r:id="rId8"/>
      <w:footerReference w:type="even" r:id="rId9"/>
      <w:footerReference w:type="default" r:id="rId10"/>
      <w:pgSz w:w="11900" w:h="16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160C5" w16cex:dateUtc="2020-10-14T10:34:00Z"/>
  <w16cex:commentExtensible w16cex:durableId="2331619A" w16cex:dateUtc="2020-10-14T1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D069EA" w16cid:durableId="233160C5"/>
  <w16cid:commentId w16cid:paraId="4BBF57EA" w16cid:durableId="2331619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0E7A9" w14:textId="77777777" w:rsidR="00D83BE7" w:rsidRDefault="00D83BE7" w:rsidP="003840A3">
      <w:r>
        <w:separator/>
      </w:r>
    </w:p>
  </w:endnote>
  <w:endnote w:type="continuationSeparator" w:id="0">
    <w:p w14:paraId="6EA21BA4" w14:textId="77777777" w:rsidR="00D83BE7" w:rsidRDefault="00D83BE7" w:rsidP="0038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476749"/>
      <w:docPartObj>
        <w:docPartGallery w:val="Page Numbers (Bottom of Page)"/>
        <w:docPartUnique/>
      </w:docPartObj>
    </w:sdtPr>
    <w:sdtEndPr>
      <w:rPr>
        <w:noProof/>
      </w:rPr>
    </w:sdtEndPr>
    <w:sdtContent>
      <w:p w14:paraId="57D4EABB" w14:textId="26AF251A" w:rsidR="00232EE9" w:rsidRDefault="00232EE9">
        <w:pPr>
          <w:pStyle w:val="Footer"/>
          <w:jc w:val="center"/>
          <w:rPr>
            <w:sz w:val="22"/>
            <w:szCs w:val="22"/>
          </w:rPr>
        </w:pPr>
        <w:r>
          <w:rPr>
            <w:sz w:val="22"/>
            <w:szCs w:val="22"/>
          </w:rPr>
          <w:t>__________________________________________________________________________________</w:t>
        </w:r>
      </w:p>
      <w:p w14:paraId="282F0AAC" w14:textId="58F681F8" w:rsidR="00232EE9" w:rsidRPr="00232EE9" w:rsidRDefault="00232EE9">
        <w:pPr>
          <w:pStyle w:val="Footer"/>
          <w:jc w:val="center"/>
          <w:rPr>
            <w:sz w:val="22"/>
            <w:szCs w:val="22"/>
          </w:rPr>
        </w:pPr>
      </w:p>
      <w:p w14:paraId="1C9126B6" w14:textId="7381D6D9" w:rsidR="00232EE9" w:rsidRDefault="00232EE9">
        <w:pPr>
          <w:pStyle w:val="Footer"/>
          <w:jc w:val="center"/>
        </w:pPr>
        <w:r w:rsidRPr="00232EE9">
          <w:rPr>
            <w:sz w:val="22"/>
            <w:szCs w:val="22"/>
          </w:rPr>
          <w:fldChar w:fldCharType="begin"/>
        </w:r>
        <w:r w:rsidRPr="00232EE9">
          <w:rPr>
            <w:sz w:val="22"/>
            <w:szCs w:val="22"/>
          </w:rPr>
          <w:instrText xml:space="preserve"> PAGE   \* MERGEFORMAT </w:instrText>
        </w:r>
        <w:r w:rsidRPr="00232EE9">
          <w:rPr>
            <w:sz w:val="22"/>
            <w:szCs w:val="22"/>
          </w:rPr>
          <w:fldChar w:fldCharType="separate"/>
        </w:r>
        <w:r w:rsidR="00CE6D46">
          <w:rPr>
            <w:noProof/>
            <w:sz w:val="22"/>
            <w:szCs w:val="22"/>
          </w:rPr>
          <w:t>4</w:t>
        </w:r>
        <w:r w:rsidRPr="00232EE9">
          <w:rPr>
            <w:noProof/>
            <w:sz w:val="22"/>
            <w:szCs w:val="22"/>
          </w:rPr>
          <w:fldChar w:fldCharType="end"/>
        </w:r>
      </w:p>
    </w:sdtContent>
  </w:sdt>
  <w:p w14:paraId="75673F37" w14:textId="77777777" w:rsidR="0020629B" w:rsidRDefault="002062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015907"/>
      <w:docPartObj>
        <w:docPartGallery w:val="Page Numbers (Bottom of Page)"/>
        <w:docPartUnique/>
      </w:docPartObj>
    </w:sdtPr>
    <w:sdtEndPr>
      <w:rPr>
        <w:noProof/>
      </w:rPr>
    </w:sdtEndPr>
    <w:sdtContent>
      <w:p w14:paraId="3C9ED738" w14:textId="2D64945E" w:rsidR="00232EE9" w:rsidRDefault="00232EE9">
        <w:pPr>
          <w:pStyle w:val="Footer"/>
          <w:jc w:val="center"/>
          <w:rPr>
            <w:sz w:val="22"/>
            <w:szCs w:val="22"/>
          </w:rPr>
        </w:pPr>
        <w:r>
          <w:rPr>
            <w:sz w:val="22"/>
            <w:szCs w:val="22"/>
          </w:rPr>
          <w:t>__________________________________________________________________________________</w:t>
        </w:r>
      </w:p>
      <w:p w14:paraId="069C9725" w14:textId="39148A5F" w:rsidR="00232EE9" w:rsidRPr="00232EE9" w:rsidRDefault="00232EE9">
        <w:pPr>
          <w:pStyle w:val="Footer"/>
          <w:jc w:val="center"/>
          <w:rPr>
            <w:sz w:val="22"/>
            <w:szCs w:val="22"/>
          </w:rPr>
        </w:pPr>
      </w:p>
      <w:p w14:paraId="767F6C11" w14:textId="71E88627" w:rsidR="00232EE9" w:rsidRDefault="00232EE9">
        <w:pPr>
          <w:pStyle w:val="Footer"/>
          <w:jc w:val="center"/>
        </w:pPr>
        <w:r w:rsidRPr="00232EE9">
          <w:rPr>
            <w:sz w:val="22"/>
            <w:szCs w:val="22"/>
          </w:rPr>
          <w:fldChar w:fldCharType="begin"/>
        </w:r>
        <w:r w:rsidRPr="00232EE9">
          <w:rPr>
            <w:sz w:val="22"/>
            <w:szCs w:val="22"/>
          </w:rPr>
          <w:instrText xml:space="preserve"> PAGE   \* MERGEFORMAT </w:instrText>
        </w:r>
        <w:r w:rsidRPr="00232EE9">
          <w:rPr>
            <w:sz w:val="22"/>
            <w:szCs w:val="22"/>
          </w:rPr>
          <w:fldChar w:fldCharType="separate"/>
        </w:r>
        <w:r w:rsidR="00CE6D46">
          <w:rPr>
            <w:noProof/>
            <w:sz w:val="22"/>
            <w:szCs w:val="22"/>
          </w:rPr>
          <w:t>5</w:t>
        </w:r>
        <w:r w:rsidRPr="00232EE9">
          <w:rPr>
            <w:noProof/>
            <w:sz w:val="22"/>
            <w:szCs w:val="22"/>
          </w:rPr>
          <w:fldChar w:fldCharType="end"/>
        </w:r>
      </w:p>
    </w:sdtContent>
  </w:sdt>
  <w:p w14:paraId="299E3EC1" w14:textId="77777777" w:rsidR="0020629B" w:rsidRDefault="00206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FCD2F" w14:textId="77777777" w:rsidR="00D83BE7" w:rsidRDefault="00D83BE7" w:rsidP="003840A3">
      <w:r>
        <w:separator/>
      </w:r>
    </w:p>
  </w:footnote>
  <w:footnote w:type="continuationSeparator" w:id="0">
    <w:p w14:paraId="432EA78B" w14:textId="77777777" w:rsidR="00D83BE7" w:rsidRDefault="00D83BE7" w:rsidP="003840A3">
      <w:r>
        <w:continuationSeparator/>
      </w:r>
    </w:p>
  </w:footnote>
  <w:footnote w:id="1">
    <w:p w14:paraId="3BB5F61F" w14:textId="48C84961" w:rsidR="00906CBF" w:rsidRDefault="00906CBF">
      <w:pPr>
        <w:pStyle w:val="FootnoteText"/>
      </w:pPr>
      <w:r>
        <w:rPr>
          <w:rStyle w:val="FootnoteReference"/>
        </w:rPr>
        <w:t>*</w:t>
      </w:r>
      <w:r>
        <w:t xml:space="preserve"> </w:t>
      </w:r>
      <w:r w:rsidRPr="00132474">
        <w:rPr>
          <w:rFonts w:ascii="Garamond" w:hAnsi="Garamond"/>
        </w:rPr>
        <w:t>Professor of Law, University of Kent</w:t>
      </w:r>
      <w:r>
        <w:rPr>
          <w:rFonts w:ascii="Garamond" w:hAnsi="Garamond"/>
        </w:rPr>
        <w:t>, UK</w:t>
      </w:r>
      <w:r w:rsidRPr="00132474">
        <w:rPr>
          <w:rFonts w:ascii="Garamond" w:hAnsi="Garamond"/>
        </w:rPr>
        <w:t xml:space="preserve">; Professor of Law, Sciences Po </w:t>
      </w:r>
      <w:proofErr w:type="spellStart"/>
      <w:r w:rsidRPr="00132474">
        <w:rPr>
          <w:rFonts w:ascii="Garamond" w:hAnsi="Garamond" w:cs="Calibri"/>
        </w:rPr>
        <w:t>É</w:t>
      </w:r>
      <w:r w:rsidRPr="00132474">
        <w:rPr>
          <w:rFonts w:ascii="Garamond" w:hAnsi="Garamond"/>
        </w:rPr>
        <w:t>cole</w:t>
      </w:r>
      <w:proofErr w:type="spellEnd"/>
      <w:r w:rsidRPr="00132474">
        <w:rPr>
          <w:rFonts w:ascii="Garamond" w:hAnsi="Garamond"/>
        </w:rPr>
        <w:t xml:space="preserve"> du Droit</w:t>
      </w:r>
      <w:r>
        <w:rPr>
          <w:rFonts w:ascii="Garamond" w:hAnsi="Garamond"/>
        </w:rPr>
        <w:t>, France</w:t>
      </w:r>
      <w:r w:rsidRPr="00132474">
        <w:rPr>
          <w:rFonts w:ascii="Garamond" w:hAnsi="Garamond"/>
        </w:rPr>
        <w:t>.</w:t>
      </w:r>
      <w:r>
        <w:rPr>
          <w:rFonts w:ascii="Garamond" w:hAnsi="Garamond"/>
        </w:rPr>
        <w:t xml:space="preserve"> Email </w:t>
      </w:r>
      <w:hyperlink r:id="rId1" w:history="1">
        <w:r w:rsidRPr="00D10F08">
          <w:rPr>
            <w:rStyle w:val="Hyperlink"/>
            <w:rFonts w:ascii="Garamond" w:hAnsi="Garamond"/>
          </w:rPr>
          <w:t>R.A.Pottage@kent.ac.uk</w:t>
        </w:r>
      </w:hyperlink>
      <w:r>
        <w:rPr>
          <w:rFonts w:ascii="Garamond" w:hAnsi="Garamond"/>
        </w:rPr>
        <w:t xml:space="preserve"> </w:t>
      </w:r>
    </w:p>
  </w:footnote>
  <w:footnote w:id="2">
    <w:p w14:paraId="27F02FDA" w14:textId="78EEE4AC" w:rsidR="007011C4" w:rsidRPr="00132474" w:rsidRDefault="007011C4" w:rsidP="00BF0DAE">
      <w:pPr>
        <w:pStyle w:val="FootnoteText"/>
        <w:jc w:val="both"/>
        <w:rPr>
          <w:rFonts w:ascii="Garamond" w:hAnsi="Garamond"/>
        </w:rPr>
      </w:pPr>
      <w:r w:rsidRPr="00132474">
        <w:rPr>
          <w:rStyle w:val="FootnoteReference"/>
          <w:rFonts w:ascii="Garamond" w:hAnsi="Garamond"/>
        </w:rPr>
        <w:footnoteRef/>
      </w:r>
      <w:r w:rsidRPr="00132474">
        <w:rPr>
          <w:rFonts w:ascii="Garamond" w:hAnsi="Garamond"/>
        </w:rPr>
        <w:t xml:space="preserve"> I highlight this novel partly because of the role in plays in Marilyn </w:t>
      </w:r>
      <w:proofErr w:type="spellStart"/>
      <w:r w:rsidRPr="00132474">
        <w:rPr>
          <w:rFonts w:ascii="Garamond" w:hAnsi="Garamond"/>
        </w:rPr>
        <w:t>Strathern’s</w:t>
      </w:r>
      <w:proofErr w:type="spellEnd"/>
      <w:r w:rsidRPr="00132474">
        <w:rPr>
          <w:rFonts w:ascii="Garamond" w:hAnsi="Garamond"/>
        </w:rPr>
        <w:t xml:space="preserve"> rediscovered feminist classic, </w:t>
      </w:r>
      <w:r w:rsidRPr="00132474">
        <w:rPr>
          <w:rFonts w:ascii="Garamond" w:hAnsi="Garamond"/>
          <w:i/>
          <w:iCs/>
        </w:rPr>
        <w:t>Before and After Gender. Sexual Mythologies of Everyday Life</w:t>
      </w:r>
      <w:r w:rsidRPr="00132474">
        <w:rPr>
          <w:rFonts w:ascii="Garamond" w:hAnsi="Garamond"/>
        </w:rPr>
        <w:t xml:space="preserve">  </w:t>
      </w:r>
      <w:r w:rsidR="0014326A">
        <w:rPr>
          <w:rFonts w:ascii="Garamond" w:hAnsi="Garamond"/>
        </w:rPr>
        <w:fldChar w:fldCharType="begin"/>
      </w:r>
      <w:r w:rsidR="001E0429">
        <w:rPr>
          <w:rFonts w:ascii="Garamond" w:hAnsi="Garamond"/>
        </w:rPr>
        <w:instrText xml:space="preserve"> ADDIN ZOTERO_ITEM CSL_CITATION {"citationID":"3PY4ky1C","properties":{"formattedCitation":"(Strathern and Butler, 2016)","plainCitation":"(Strathern and Butler, 2016)","noteIndex":2},"citationItems":[{"id":3505,"uris":["http://zotero.org/users/1070015/items/8IFP2KNP"],"uri":["http://zotero.org/users/1070015/items/8IFP2KNP"],"itemData":{"id":3505,"type":"book","abstract":"Written in the early 1970s amidst widespread debate over the causes of gender inequality, Marilyn Strathern’s Before and After Gender was intended as a widely accessible analysis of gender as a powerful cultural code and sex as a defining mythology. But when the series for which it was written unexpectedly folded, the manuscript went into storage, where it remained for more than four decades. This book finally brings it to light, giving the long-lost feminist work—accompanied here by an afterword from Judith Butler—an overdue spot in feminist history.  Strathern incisively engages some of the leading feminist thinkers of the time, including Shulamith Firestone, Simone de Beauvoir, Ann Oakley, and Kate Millett. Building with characteristic precision toward a bold conclusion in which she argues that we underestimate the materializing grammars of sex and gender at our own peril, she offers a powerful challenge to the intransigent mythologies of sex that still plague contemporary society. The result is a sweeping display of Strathern’s vivid critical thought and an important contribution to feminist studies that has gone unpublished for far too long.","event-place":"Chicago","publisher":"Hau Books","publisher-place":"Chicago","source":"Amazon","title":"Before and After Gender: Sexual Mythologies of Everyday Life","title-short":"Before and After Gender","author":[{"family":"Strathern","given":"Marilyn"},{"family":"Butler","given":"Judith"}],"editor":[{"family":"Franklin","given":"Sarah"}],"issued":{"date-parts":[["2016"]]}}}],"schema":"https://github.com/citation-style-language/schema/raw/master/csl-citation.json"} </w:instrText>
      </w:r>
      <w:r w:rsidR="0014326A">
        <w:rPr>
          <w:rFonts w:ascii="Garamond" w:hAnsi="Garamond"/>
        </w:rPr>
        <w:fldChar w:fldCharType="separate"/>
      </w:r>
      <w:r w:rsidR="001E0429">
        <w:rPr>
          <w:rFonts w:ascii="Garamond" w:hAnsi="Garamond"/>
          <w:noProof/>
        </w:rPr>
        <w:t>(Strathern and Butler, 2016)</w:t>
      </w:r>
      <w:r w:rsidR="0014326A">
        <w:rPr>
          <w:rFonts w:ascii="Garamond" w:hAnsi="Garamond"/>
        </w:rPr>
        <w:fldChar w:fldCharType="end"/>
      </w:r>
      <w:r w:rsidR="001E0429">
        <w:rPr>
          <w:rFonts w:ascii="Garamond" w:hAnsi="Garamond"/>
        </w:rPr>
        <w:t>.</w:t>
      </w:r>
    </w:p>
  </w:footnote>
  <w:footnote w:id="3">
    <w:p w14:paraId="44688740" w14:textId="77A887AC" w:rsidR="007011C4" w:rsidRPr="00132474" w:rsidRDefault="007011C4" w:rsidP="00BF0DAE">
      <w:pPr>
        <w:pStyle w:val="FootnoteText"/>
        <w:jc w:val="both"/>
        <w:rPr>
          <w:rFonts w:ascii="Garamond" w:hAnsi="Garamond"/>
        </w:rPr>
      </w:pPr>
      <w:r w:rsidRPr="00132474">
        <w:rPr>
          <w:rStyle w:val="FootnoteReference"/>
          <w:rFonts w:ascii="Garamond" w:hAnsi="Garamond"/>
        </w:rPr>
        <w:footnoteRef/>
      </w:r>
      <w:r w:rsidRPr="00132474">
        <w:rPr>
          <w:rFonts w:ascii="Garamond" w:hAnsi="Garamond"/>
        </w:rPr>
        <w:t xml:space="preserve"> </w:t>
      </w:r>
      <w:proofErr w:type="spellStart"/>
      <w:r w:rsidRPr="00132474">
        <w:rPr>
          <w:rFonts w:ascii="Garamond" w:hAnsi="Garamond"/>
          <w:i/>
        </w:rPr>
        <w:t>Southby</w:t>
      </w:r>
      <w:proofErr w:type="spellEnd"/>
      <w:r w:rsidRPr="00132474">
        <w:rPr>
          <w:rFonts w:ascii="Garamond" w:hAnsi="Garamond"/>
        </w:rPr>
        <w:t xml:space="preserve"> </w:t>
      </w:r>
      <w:r w:rsidRPr="00BE1DDF">
        <w:rPr>
          <w:rFonts w:ascii="Garamond" w:hAnsi="Garamond"/>
          <w:i/>
          <w:iCs/>
        </w:rPr>
        <w:t>v.</w:t>
      </w:r>
      <w:r w:rsidRPr="00132474">
        <w:rPr>
          <w:rFonts w:ascii="Garamond" w:hAnsi="Garamond"/>
        </w:rPr>
        <w:t xml:space="preserve"> </w:t>
      </w:r>
      <w:proofErr w:type="spellStart"/>
      <w:r w:rsidRPr="00132474">
        <w:rPr>
          <w:rFonts w:ascii="Garamond" w:hAnsi="Garamond"/>
          <w:i/>
        </w:rPr>
        <w:t>Stonehouse</w:t>
      </w:r>
      <w:proofErr w:type="spellEnd"/>
      <w:r w:rsidR="00BE1DDF">
        <w:rPr>
          <w:rFonts w:ascii="Garamond" w:hAnsi="Garamond"/>
          <w:i/>
        </w:rPr>
        <w:t xml:space="preserve"> </w:t>
      </w:r>
      <w:r w:rsidR="00BE1DDF">
        <w:rPr>
          <w:rFonts w:ascii="Garamond" w:hAnsi="Garamond"/>
        </w:rPr>
        <w:t xml:space="preserve">(1755) 2 </w:t>
      </w:r>
      <w:proofErr w:type="spellStart"/>
      <w:r w:rsidR="00BE1DDF">
        <w:rPr>
          <w:rFonts w:ascii="Garamond" w:hAnsi="Garamond"/>
        </w:rPr>
        <w:t>Ves</w:t>
      </w:r>
      <w:proofErr w:type="spellEnd"/>
      <w:r w:rsidR="00BE1DDF">
        <w:rPr>
          <w:rFonts w:ascii="Garamond" w:hAnsi="Garamond"/>
        </w:rPr>
        <w:t>. Sen. 610</w:t>
      </w:r>
      <w:r w:rsidRPr="00132474">
        <w:rPr>
          <w:rFonts w:ascii="Garamond" w:hAnsi="Garamond"/>
        </w:rPr>
        <w:t>, at p 612.</w:t>
      </w:r>
    </w:p>
  </w:footnote>
  <w:footnote w:id="4">
    <w:p w14:paraId="79197FE8" w14:textId="4B4D0136" w:rsidR="007011C4" w:rsidRPr="00BF0DAE" w:rsidRDefault="007011C4" w:rsidP="00BF0DAE">
      <w:pPr>
        <w:pStyle w:val="FootnoteText"/>
        <w:jc w:val="both"/>
        <w:rPr>
          <w:rFonts w:ascii="Book Antiqua" w:hAnsi="Book Antiqua"/>
        </w:rPr>
      </w:pPr>
      <w:r w:rsidRPr="00132474">
        <w:rPr>
          <w:rStyle w:val="FootnoteReference"/>
          <w:rFonts w:ascii="Garamond" w:hAnsi="Garamond"/>
        </w:rPr>
        <w:footnoteRef/>
      </w:r>
      <w:r w:rsidRPr="00132474">
        <w:rPr>
          <w:rFonts w:ascii="Garamond" w:hAnsi="Garamond"/>
        </w:rPr>
        <w:t xml:space="preserve"> </w:t>
      </w:r>
      <w:r w:rsidR="00CA26DA">
        <w:rPr>
          <w:rFonts w:ascii="Garamond" w:hAnsi="Garamond"/>
        </w:rPr>
        <w:t>C</w:t>
      </w:r>
      <w:r w:rsidRPr="00132474">
        <w:rPr>
          <w:rFonts w:ascii="Garamond" w:hAnsi="Garamond"/>
        </w:rPr>
        <w:t xml:space="preserve">ase cited in counsel's argument in </w:t>
      </w:r>
      <w:r w:rsidRPr="00132474">
        <w:rPr>
          <w:rFonts w:ascii="Garamond" w:hAnsi="Garamond"/>
          <w:i/>
        </w:rPr>
        <w:t>Tomlinson</w:t>
      </w:r>
      <w:r w:rsidRPr="00132474">
        <w:rPr>
          <w:rFonts w:ascii="Garamond" w:hAnsi="Garamond"/>
        </w:rPr>
        <w:t xml:space="preserve"> v. </w:t>
      </w:r>
      <w:r w:rsidRPr="00132474">
        <w:rPr>
          <w:rFonts w:ascii="Garamond" w:hAnsi="Garamond"/>
          <w:i/>
        </w:rPr>
        <w:t>Dighton</w:t>
      </w:r>
      <w:r w:rsidRPr="00132474">
        <w:rPr>
          <w:rFonts w:ascii="Garamond" w:hAnsi="Garamond"/>
        </w:rPr>
        <w:t xml:space="preserve"> (1711) 1 P. </w:t>
      </w:r>
      <w:proofErr w:type="spellStart"/>
      <w:r w:rsidRPr="00132474">
        <w:rPr>
          <w:rFonts w:ascii="Garamond" w:hAnsi="Garamond"/>
        </w:rPr>
        <w:t>Wms</w:t>
      </w:r>
      <w:proofErr w:type="spellEnd"/>
      <w:r w:rsidRPr="00132474">
        <w:rPr>
          <w:rFonts w:ascii="Garamond" w:hAnsi="Garamond"/>
        </w:rPr>
        <w:t>. 149, at p 164.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D691B" w14:textId="3E7B40BC" w:rsidR="00232EE9" w:rsidRDefault="00232EE9">
    <w:pPr>
      <w:pStyle w:val="Header"/>
      <w:rPr>
        <w:sz w:val="22"/>
        <w:szCs w:val="22"/>
      </w:rPr>
    </w:pPr>
    <w:r>
      <w:rPr>
        <w:sz w:val="22"/>
        <w:szCs w:val="22"/>
      </w:rPr>
      <w:t>Alain Pottage</w:t>
    </w:r>
    <w:r>
      <w:rPr>
        <w:sz w:val="22"/>
        <w:szCs w:val="22"/>
      </w:rPr>
      <w:tab/>
    </w:r>
    <w:r>
      <w:rPr>
        <w:sz w:val="22"/>
        <w:szCs w:val="22"/>
      </w:rPr>
      <w:tab/>
      <w:t>Response to Emily Grabham</w:t>
    </w:r>
  </w:p>
  <w:p w14:paraId="196F4550" w14:textId="517F5654" w:rsidR="00232EE9" w:rsidRPr="00232EE9" w:rsidRDefault="00232EE9">
    <w:pPr>
      <w:pStyle w:val="Header"/>
      <w:rPr>
        <w:sz w:val="22"/>
        <w:szCs w:val="22"/>
      </w:rPr>
    </w:pPr>
    <w:r>
      <w:rPr>
        <w:sz w:val="22"/>
        <w:szCs w:val="22"/>
      </w:rP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1FFF2" w14:textId="5F8C0D3B" w:rsidR="00232EE9" w:rsidRDefault="00232EE9">
    <w:pPr>
      <w:pStyle w:val="Header"/>
      <w:rPr>
        <w:sz w:val="22"/>
        <w:szCs w:val="22"/>
      </w:rPr>
    </w:pPr>
    <w:proofErr w:type="spellStart"/>
    <w:r>
      <w:rPr>
        <w:i/>
        <w:sz w:val="22"/>
        <w:szCs w:val="22"/>
      </w:rPr>
      <w:t>feminists@law</w:t>
    </w:r>
    <w:proofErr w:type="spellEnd"/>
    <w:r>
      <w:rPr>
        <w:sz w:val="22"/>
        <w:szCs w:val="22"/>
      </w:rPr>
      <w:tab/>
    </w:r>
    <w:r>
      <w:rPr>
        <w:sz w:val="22"/>
        <w:szCs w:val="22"/>
      </w:rPr>
      <w:tab/>
      <w:t>Vol 10, No 2 (2020)</w:t>
    </w:r>
  </w:p>
  <w:p w14:paraId="1AE47990" w14:textId="25EFB7BF" w:rsidR="00232EE9" w:rsidRPr="00232EE9" w:rsidRDefault="00232EE9">
    <w:pPr>
      <w:pStyle w:val="Header"/>
      <w:rPr>
        <w:sz w:val="22"/>
        <w:szCs w:val="22"/>
      </w:rPr>
    </w:pPr>
    <w:r>
      <w:rPr>
        <w:sz w:val="22"/>
        <w:szCs w:val="22"/>
      </w:rPr>
      <w:t>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0A3"/>
    <w:rsid w:val="00010016"/>
    <w:rsid w:val="00057929"/>
    <w:rsid w:val="00065AE5"/>
    <w:rsid w:val="0006722C"/>
    <w:rsid w:val="00077FF9"/>
    <w:rsid w:val="00090056"/>
    <w:rsid w:val="000D3027"/>
    <w:rsid w:val="000E60A5"/>
    <w:rsid w:val="000F0092"/>
    <w:rsid w:val="00110ACD"/>
    <w:rsid w:val="00112236"/>
    <w:rsid w:val="00113E03"/>
    <w:rsid w:val="00114101"/>
    <w:rsid w:val="00132474"/>
    <w:rsid w:val="0014326A"/>
    <w:rsid w:val="001628DA"/>
    <w:rsid w:val="0018171C"/>
    <w:rsid w:val="001858BE"/>
    <w:rsid w:val="001A69F5"/>
    <w:rsid w:val="001A7538"/>
    <w:rsid w:val="001D4644"/>
    <w:rsid w:val="001E0429"/>
    <w:rsid w:val="0020629B"/>
    <w:rsid w:val="0021273C"/>
    <w:rsid w:val="00214AFB"/>
    <w:rsid w:val="00216E5D"/>
    <w:rsid w:val="00232EE9"/>
    <w:rsid w:val="002432ED"/>
    <w:rsid w:val="00250F82"/>
    <w:rsid w:val="00256816"/>
    <w:rsid w:val="0028570B"/>
    <w:rsid w:val="002A62D7"/>
    <w:rsid w:val="002D6271"/>
    <w:rsid w:val="002D77A0"/>
    <w:rsid w:val="002E7FEE"/>
    <w:rsid w:val="002F55B1"/>
    <w:rsid w:val="002F7B31"/>
    <w:rsid w:val="003043B3"/>
    <w:rsid w:val="00325665"/>
    <w:rsid w:val="0033782E"/>
    <w:rsid w:val="00351FAD"/>
    <w:rsid w:val="00374C12"/>
    <w:rsid w:val="003840A3"/>
    <w:rsid w:val="003A266F"/>
    <w:rsid w:val="003D3BF5"/>
    <w:rsid w:val="003F26FD"/>
    <w:rsid w:val="003F5504"/>
    <w:rsid w:val="00401B6C"/>
    <w:rsid w:val="004219D4"/>
    <w:rsid w:val="004246EF"/>
    <w:rsid w:val="00436429"/>
    <w:rsid w:val="00447E18"/>
    <w:rsid w:val="004630E6"/>
    <w:rsid w:val="00463129"/>
    <w:rsid w:val="00470157"/>
    <w:rsid w:val="004835FB"/>
    <w:rsid w:val="00492D8D"/>
    <w:rsid w:val="004A0328"/>
    <w:rsid w:val="004B4683"/>
    <w:rsid w:val="004B58DF"/>
    <w:rsid w:val="004D47A0"/>
    <w:rsid w:val="004D5E3F"/>
    <w:rsid w:val="004D64FE"/>
    <w:rsid w:val="004E080A"/>
    <w:rsid w:val="004E5D2D"/>
    <w:rsid w:val="005272A3"/>
    <w:rsid w:val="005307E2"/>
    <w:rsid w:val="00531A5B"/>
    <w:rsid w:val="00535C62"/>
    <w:rsid w:val="00552B6C"/>
    <w:rsid w:val="00554AD2"/>
    <w:rsid w:val="00561354"/>
    <w:rsid w:val="00567051"/>
    <w:rsid w:val="00575A3D"/>
    <w:rsid w:val="00585B92"/>
    <w:rsid w:val="00594B86"/>
    <w:rsid w:val="005A7AF8"/>
    <w:rsid w:val="005B5CCC"/>
    <w:rsid w:val="005F07AB"/>
    <w:rsid w:val="005F5454"/>
    <w:rsid w:val="00604A95"/>
    <w:rsid w:val="006128ED"/>
    <w:rsid w:val="0066558A"/>
    <w:rsid w:val="00666414"/>
    <w:rsid w:val="00680823"/>
    <w:rsid w:val="006810E0"/>
    <w:rsid w:val="0069125A"/>
    <w:rsid w:val="006A3965"/>
    <w:rsid w:val="006A7ECC"/>
    <w:rsid w:val="006C13B0"/>
    <w:rsid w:val="006C3F86"/>
    <w:rsid w:val="006E3C0C"/>
    <w:rsid w:val="007011C4"/>
    <w:rsid w:val="00724EC7"/>
    <w:rsid w:val="00730F35"/>
    <w:rsid w:val="00733956"/>
    <w:rsid w:val="007654AE"/>
    <w:rsid w:val="00774AE7"/>
    <w:rsid w:val="007A6DD5"/>
    <w:rsid w:val="007B57F9"/>
    <w:rsid w:val="007C0784"/>
    <w:rsid w:val="007D396C"/>
    <w:rsid w:val="007E23CA"/>
    <w:rsid w:val="007F3815"/>
    <w:rsid w:val="00802B4E"/>
    <w:rsid w:val="00815F70"/>
    <w:rsid w:val="00875836"/>
    <w:rsid w:val="008A1975"/>
    <w:rsid w:val="008A3668"/>
    <w:rsid w:val="008B29ED"/>
    <w:rsid w:val="008C49D7"/>
    <w:rsid w:val="008C74C7"/>
    <w:rsid w:val="008F062D"/>
    <w:rsid w:val="00906CBF"/>
    <w:rsid w:val="00913A4D"/>
    <w:rsid w:val="00944649"/>
    <w:rsid w:val="00951AC5"/>
    <w:rsid w:val="00963A1F"/>
    <w:rsid w:val="009724D6"/>
    <w:rsid w:val="0099076B"/>
    <w:rsid w:val="00997683"/>
    <w:rsid w:val="009A02D1"/>
    <w:rsid w:val="009B4115"/>
    <w:rsid w:val="009B6A9D"/>
    <w:rsid w:val="009C1231"/>
    <w:rsid w:val="009D28B1"/>
    <w:rsid w:val="009D59A5"/>
    <w:rsid w:val="009E4CCF"/>
    <w:rsid w:val="00A00E0B"/>
    <w:rsid w:val="00A0755A"/>
    <w:rsid w:val="00A12D13"/>
    <w:rsid w:val="00A40600"/>
    <w:rsid w:val="00A77E23"/>
    <w:rsid w:val="00A962AD"/>
    <w:rsid w:val="00AA610E"/>
    <w:rsid w:val="00AA667B"/>
    <w:rsid w:val="00AE75D4"/>
    <w:rsid w:val="00B01402"/>
    <w:rsid w:val="00B13A15"/>
    <w:rsid w:val="00B13D01"/>
    <w:rsid w:val="00B158F3"/>
    <w:rsid w:val="00B20707"/>
    <w:rsid w:val="00B20D27"/>
    <w:rsid w:val="00B356C6"/>
    <w:rsid w:val="00B66742"/>
    <w:rsid w:val="00B839BB"/>
    <w:rsid w:val="00B94A4E"/>
    <w:rsid w:val="00BA71B8"/>
    <w:rsid w:val="00BB19F9"/>
    <w:rsid w:val="00BB749D"/>
    <w:rsid w:val="00BD2B79"/>
    <w:rsid w:val="00BE1DDF"/>
    <w:rsid w:val="00BE27A6"/>
    <w:rsid w:val="00BF0DAE"/>
    <w:rsid w:val="00C0140E"/>
    <w:rsid w:val="00C10EC6"/>
    <w:rsid w:val="00C24FC5"/>
    <w:rsid w:val="00C459B1"/>
    <w:rsid w:val="00C47791"/>
    <w:rsid w:val="00C54000"/>
    <w:rsid w:val="00C862E3"/>
    <w:rsid w:val="00CA26DA"/>
    <w:rsid w:val="00CC032E"/>
    <w:rsid w:val="00CD0E85"/>
    <w:rsid w:val="00CE6D46"/>
    <w:rsid w:val="00CF4F99"/>
    <w:rsid w:val="00CF7160"/>
    <w:rsid w:val="00D054EF"/>
    <w:rsid w:val="00D164CC"/>
    <w:rsid w:val="00D41689"/>
    <w:rsid w:val="00D43F47"/>
    <w:rsid w:val="00D57DC9"/>
    <w:rsid w:val="00D759C6"/>
    <w:rsid w:val="00D83BE7"/>
    <w:rsid w:val="00D97931"/>
    <w:rsid w:val="00DA396B"/>
    <w:rsid w:val="00DA79A8"/>
    <w:rsid w:val="00DB3446"/>
    <w:rsid w:val="00DC4A61"/>
    <w:rsid w:val="00DE1AFF"/>
    <w:rsid w:val="00DE5956"/>
    <w:rsid w:val="00DF2AF9"/>
    <w:rsid w:val="00DF3CAF"/>
    <w:rsid w:val="00DF51DD"/>
    <w:rsid w:val="00E141E1"/>
    <w:rsid w:val="00E17152"/>
    <w:rsid w:val="00E27530"/>
    <w:rsid w:val="00E34C77"/>
    <w:rsid w:val="00E45CA5"/>
    <w:rsid w:val="00E57CBF"/>
    <w:rsid w:val="00E70BCB"/>
    <w:rsid w:val="00EB2DA7"/>
    <w:rsid w:val="00EB393A"/>
    <w:rsid w:val="00EB4E31"/>
    <w:rsid w:val="00EC2AFF"/>
    <w:rsid w:val="00ED0FA4"/>
    <w:rsid w:val="00F017BE"/>
    <w:rsid w:val="00F13BAD"/>
    <w:rsid w:val="00F20DFA"/>
    <w:rsid w:val="00F30044"/>
    <w:rsid w:val="00F3234C"/>
    <w:rsid w:val="00F42ADC"/>
    <w:rsid w:val="00F51AFD"/>
    <w:rsid w:val="00F566DC"/>
    <w:rsid w:val="00F65606"/>
    <w:rsid w:val="00F7662F"/>
    <w:rsid w:val="00F95910"/>
    <w:rsid w:val="00FA0A6D"/>
    <w:rsid w:val="00FA3EFC"/>
    <w:rsid w:val="00FA67E2"/>
    <w:rsid w:val="00FB6CD4"/>
    <w:rsid w:val="00FC1840"/>
    <w:rsid w:val="00FF3D15"/>
    <w:rsid w:val="00FF421F"/>
    <w:rsid w:val="00FF5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582A48"/>
  <w14:defaultImageDpi w14:val="32767"/>
  <w15:chartTrackingRefBased/>
  <w15:docId w15:val="{1AC21C0E-5234-074B-872C-319CB156A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32EE9"/>
    <w:pPr>
      <w:spacing w:line="480" w:lineRule="auto"/>
      <w:jc w:val="both"/>
      <w:outlineLvl w:val="0"/>
    </w:pPr>
    <w:rPr>
      <w:rFonts w:ascii="Garamond" w:hAnsi="Garamond"/>
      <w:b/>
      <w:bCs/>
      <w:sz w:val="28"/>
      <w:szCs w:val="28"/>
    </w:rPr>
  </w:style>
  <w:style w:type="paragraph" w:styleId="Heading2">
    <w:name w:val="heading 2"/>
    <w:basedOn w:val="Normal"/>
    <w:next w:val="Normal"/>
    <w:link w:val="Heading2Char"/>
    <w:uiPriority w:val="9"/>
    <w:unhideWhenUsed/>
    <w:qFormat/>
    <w:rsid w:val="00232EE9"/>
    <w:pPr>
      <w:spacing w:line="480" w:lineRule="auto"/>
      <w:jc w:val="both"/>
      <w:outlineLvl w:val="1"/>
    </w:pPr>
    <w:rPr>
      <w:rFonts w:ascii="Garamond" w:hAnsi="Garamond"/>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840A3"/>
    <w:rPr>
      <w:sz w:val="20"/>
      <w:szCs w:val="20"/>
    </w:rPr>
  </w:style>
  <w:style w:type="character" w:customStyle="1" w:styleId="FootnoteTextChar">
    <w:name w:val="Footnote Text Char"/>
    <w:basedOn w:val="DefaultParagraphFont"/>
    <w:link w:val="FootnoteText"/>
    <w:uiPriority w:val="99"/>
    <w:semiHidden/>
    <w:rsid w:val="003840A3"/>
    <w:rPr>
      <w:sz w:val="20"/>
      <w:szCs w:val="20"/>
    </w:rPr>
  </w:style>
  <w:style w:type="character" w:styleId="FootnoteReference">
    <w:name w:val="footnote reference"/>
    <w:basedOn w:val="DefaultParagraphFont"/>
    <w:semiHidden/>
    <w:unhideWhenUsed/>
    <w:rsid w:val="003840A3"/>
    <w:rPr>
      <w:vertAlign w:val="superscript"/>
    </w:rPr>
  </w:style>
  <w:style w:type="paragraph" w:styleId="NormalWeb">
    <w:name w:val="Normal (Web)"/>
    <w:basedOn w:val="Normal"/>
    <w:uiPriority w:val="99"/>
    <w:semiHidden/>
    <w:unhideWhenUsed/>
    <w:rsid w:val="00951AC5"/>
    <w:rPr>
      <w:rFonts w:ascii="Times New Roman" w:hAnsi="Times New Roman" w:cs="Times New Roman"/>
    </w:rPr>
  </w:style>
  <w:style w:type="paragraph" w:styleId="Footer">
    <w:name w:val="footer"/>
    <w:basedOn w:val="Normal"/>
    <w:link w:val="FooterChar"/>
    <w:uiPriority w:val="99"/>
    <w:unhideWhenUsed/>
    <w:rsid w:val="0020629B"/>
    <w:pPr>
      <w:tabs>
        <w:tab w:val="center" w:pos="4513"/>
        <w:tab w:val="right" w:pos="9026"/>
      </w:tabs>
    </w:pPr>
  </w:style>
  <w:style w:type="character" w:customStyle="1" w:styleId="FooterChar">
    <w:name w:val="Footer Char"/>
    <w:basedOn w:val="DefaultParagraphFont"/>
    <w:link w:val="Footer"/>
    <w:uiPriority w:val="99"/>
    <w:rsid w:val="0020629B"/>
  </w:style>
  <w:style w:type="character" w:styleId="PageNumber">
    <w:name w:val="page number"/>
    <w:basedOn w:val="DefaultParagraphFont"/>
    <w:uiPriority w:val="99"/>
    <w:semiHidden/>
    <w:unhideWhenUsed/>
    <w:rsid w:val="0020629B"/>
  </w:style>
  <w:style w:type="paragraph" w:styleId="Bibliography">
    <w:name w:val="Bibliography"/>
    <w:basedOn w:val="Normal"/>
    <w:next w:val="Normal"/>
    <w:uiPriority w:val="37"/>
    <w:unhideWhenUsed/>
    <w:rsid w:val="00B94A4E"/>
    <w:pPr>
      <w:ind w:left="720" w:hanging="720"/>
    </w:pPr>
  </w:style>
  <w:style w:type="paragraph" w:styleId="BalloonText">
    <w:name w:val="Balloon Text"/>
    <w:basedOn w:val="Normal"/>
    <w:link w:val="BalloonTextChar"/>
    <w:uiPriority w:val="99"/>
    <w:semiHidden/>
    <w:unhideWhenUsed/>
    <w:rsid w:val="00C862E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862E3"/>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219D4"/>
    <w:rPr>
      <w:sz w:val="16"/>
      <w:szCs w:val="16"/>
    </w:rPr>
  </w:style>
  <w:style w:type="paragraph" w:styleId="CommentText">
    <w:name w:val="annotation text"/>
    <w:basedOn w:val="Normal"/>
    <w:link w:val="CommentTextChar"/>
    <w:uiPriority w:val="99"/>
    <w:semiHidden/>
    <w:unhideWhenUsed/>
    <w:rsid w:val="004219D4"/>
    <w:rPr>
      <w:sz w:val="20"/>
      <w:szCs w:val="20"/>
    </w:rPr>
  </w:style>
  <w:style w:type="character" w:customStyle="1" w:styleId="CommentTextChar">
    <w:name w:val="Comment Text Char"/>
    <w:basedOn w:val="DefaultParagraphFont"/>
    <w:link w:val="CommentText"/>
    <w:uiPriority w:val="99"/>
    <w:semiHidden/>
    <w:rsid w:val="004219D4"/>
    <w:rPr>
      <w:sz w:val="20"/>
      <w:szCs w:val="20"/>
    </w:rPr>
  </w:style>
  <w:style w:type="paragraph" w:styleId="CommentSubject">
    <w:name w:val="annotation subject"/>
    <w:basedOn w:val="CommentText"/>
    <w:next w:val="CommentText"/>
    <w:link w:val="CommentSubjectChar"/>
    <w:uiPriority w:val="99"/>
    <w:semiHidden/>
    <w:unhideWhenUsed/>
    <w:rsid w:val="004219D4"/>
    <w:rPr>
      <w:b/>
      <w:bCs/>
    </w:rPr>
  </w:style>
  <w:style w:type="character" w:customStyle="1" w:styleId="CommentSubjectChar">
    <w:name w:val="Comment Subject Char"/>
    <w:basedOn w:val="CommentTextChar"/>
    <w:link w:val="CommentSubject"/>
    <w:uiPriority w:val="99"/>
    <w:semiHidden/>
    <w:rsid w:val="004219D4"/>
    <w:rPr>
      <w:b/>
      <w:bCs/>
      <w:sz w:val="20"/>
      <w:szCs w:val="20"/>
    </w:rPr>
  </w:style>
  <w:style w:type="character" w:styleId="Hyperlink">
    <w:name w:val="Hyperlink"/>
    <w:basedOn w:val="DefaultParagraphFont"/>
    <w:uiPriority w:val="99"/>
    <w:unhideWhenUsed/>
    <w:rsid w:val="00906CBF"/>
    <w:rPr>
      <w:color w:val="0563C1" w:themeColor="hyperlink"/>
      <w:u w:val="single"/>
    </w:rPr>
  </w:style>
  <w:style w:type="character" w:customStyle="1" w:styleId="Heading2Char">
    <w:name w:val="Heading 2 Char"/>
    <w:basedOn w:val="DefaultParagraphFont"/>
    <w:link w:val="Heading2"/>
    <w:uiPriority w:val="9"/>
    <w:rsid w:val="00232EE9"/>
    <w:rPr>
      <w:rFonts w:ascii="Garamond" w:hAnsi="Garamond"/>
      <w:b/>
      <w:iCs/>
    </w:rPr>
  </w:style>
  <w:style w:type="character" w:customStyle="1" w:styleId="Heading1Char">
    <w:name w:val="Heading 1 Char"/>
    <w:basedOn w:val="DefaultParagraphFont"/>
    <w:link w:val="Heading1"/>
    <w:uiPriority w:val="9"/>
    <w:rsid w:val="00232EE9"/>
    <w:rPr>
      <w:rFonts w:ascii="Garamond" w:hAnsi="Garamond"/>
      <w:b/>
      <w:bCs/>
      <w:sz w:val="28"/>
      <w:szCs w:val="28"/>
    </w:rPr>
  </w:style>
  <w:style w:type="paragraph" w:styleId="Header">
    <w:name w:val="header"/>
    <w:basedOn w:val="Normal"/>
    <w:link w:val="HeaderChar"/>
    <w:uiPriority w:val="99"/>
    <w:unhideWhenUsed/>
    <w:rsid w:val="00232EE9"/>
    <w:pPr>
      <w:tabs>
        <w:tab w:val="center" w:pos="4513"/>
        <w:tab w:val="right" w:pos="9026"/>
      </w:tabs>
    </w:pPr>
  </w:style>
  <w:style w:type="character" w:customStyle="1" w:styleId="HeaderChar">
    <w:name w:val="Header Char"/>
    <w:basedOn w:val="DefaultParagraphFont"/>
    <w:link w:val="Header"/>
    <w:uiPriority w:val="99"/>
    <w:rsid w:val="00232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079850">
      <w:bodyDiv w:val="1"/>
      <w:marLeft w:val="0"/>
      <w:marRight w:val="0"/>
      <w:marTop w:val="0"/>
      <w:marBottom w:val="0"/>
      <w:divBdr>
        <w:top w:val="none" w:sz="0" w:space="0" w:color="auto"/>
        <w:left w:val="none" w:sz="0" w:space="0" w:color="auto"/>
        <w:bottom w:val="none" w:sz="0" w:space="0" w:color="auto"/>
        <w:right w:val="none" w:sz="0" w:space="0" w:color="auto"/>
      </w:divBdr>
      <w:divsChild>
        <w:div w:id="1880120158">
          <w:marLeft w:val="0"/>
          <w:marRight w:val="0"/>
          <w:marTop w:val="0"/>
          <w:marBottom w:val="0"/>
          <w:divBdr>
            <w:top w:val="none" w:sz="0" w:space="0" w:color="auto"/>
            <w:left w:val="none" w:sz="0" w:space="0" w:color="auto"/>
            <w:bottom w:val="none" w:sz="0" w:space="0" w:color="auto"/>
            <w:right w:val="none" w:sz="0" w:space="0" w:color="auto"/>
          </w:divBdr>
          <w:divsChild>
            <w:div w:id="33191600">
              <w:marLeft w:val="0"/>
              <w:marRight w:val="0"/>
              <w:marTop w:val="0"/>
              <w:marBottom w:val="0"/>
              <w:divBdr>
                <w:top w:val="none" w:sz="0" w:space="0" w:color="auto"/>
                <w:left w:val="none" w:sz="0" w:space="0" w:color="auto"/>
                <w:bottom w:val="none" w:sz="0" w:space="0" w:color="auto"/>
                <w:right w:val="none" w:sz="0" w:space="0" w:color="auto"/>
              </w:divBdr>
              <w:divsChild>
                <w:div w:id="46801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996724">
      <w:bodyDiv w:val="1"/>
      <w:marLeft w:val="0"/>
      <w:marRight w:val="0"/>
      <w:marTop w:val="0"/>
      <w:marBottom w:val="0"/>
      <w:divBdr>
        <w:top w:val="none" w:sz="0" w:space="0" w:color="auto"/>
        <w:left w:val="none" w:sz="0" w:space="0" w:color="auto"/>
        <w:bottom w:val="none" w:sz="0" w:space="0" w:color="auto"/>
        <w:right w:val="none" w:sz="0" w:space="0" w:color="auto"/>
      </w:divBdr>
      <w:divsChild>
        <w:div w:id="1811243043">
          <w:marLeft w:val="0"/>
          <w:marRight w:val="0"/>
          <w:marTop w:val="0"/>
          <w:marBottom w:val="0"/>
          <w:divBdr>
            <w:top w:val="none" w:sz="0" w:space="0" w:color="auto"/>
            <w:left w:val="none" w:sz="0" w:space="0" w:color="auto"/>
            <w:bottom w:val="none" w:sz="0" w:space="0" w:color="auto"/>
            <w:right w:val="none" w:sz="0" w:space="0" w:color="auto"/>
          </w:divBdr>
          <w:divsChild>
            <w:div w:id="1345130613">
              <w:marLeft w:val="0"/>
              <w:marRight w:val="0"/>
              <w:marTop w:val="0"/>
              <w:marBottom w:val="0"/>
              <w:divBdr>
                <w:top w:val="none" w:sz="0" w:space="0" w:color="auto"/>
                <w:left w:val="none" w:sz="0" w:space="0" w:color="auto"/>
                <w:bottom w:val="none" w:sz="0" w:space="0" w:color="auto"/>
                <w:right w:val="none" w:sz="0" w:space="0" w:color="auto"/>
              </w:divBdr>
              <w:divsChild>
                <w:div w:id="160854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mailto:R.A.Pottage@ken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B4894-CE61-4CA5-A3E2-8F10627AC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2269</Words>
  <Characters>12938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Pottage,RA</dc:creator>
  <cp:keywords/>
  <dc:description/>
  <cp:lastModifiedBy>Rosemary Hunter</cp:lastModifiedBy>
  <cp:revision>2</cp:revision>
  <dcterms:created xsi:type="dcterms:W3CDTF">2020-11-05T21:42:00Z</dcterms:created>
  <dcterms:modified xsi:type="dcterms:W3CDTF">2020-11-05T21:42:00Z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zotero-version="5.0.90"&gt;&lt;session id="zGIrWVfa"/&gt;&lt;style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