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D9B4B" w14:textId="4B091CE8" w:rsidR="00E23DE0" w:rsidRPr="001E2C99" w:rsidRDefault="008F6A29" w:rsidP="001E2C99">
      <w:pPr>
        <w:pStyle w:val="Heading1"/>
      </w:pPr>
      <w:r w:rsidRPr="001E2C99">
        <w:t xml:space="preserve">Review: </w:t>
      </w:r>
      <w:r w:rsidR="00966C07" w:rsidRPr="001E2C99">
        <w:t xml:space="preserve">The “Granular and Quotidian, Dispersed and </w:t>
      </w:r>
      <w:proofErr w:type="spellStart"/>
      <w:r w:rsidR="00966C07" w:rsidRPr="001E2C99">
        <w:t>Tentacular</w:t>
      </w:r>
      <w:proofErr w:type="spellEnd"/>
      <w:r w:rsidR="00966C07" w:rsidRPr="001E2C99">
        <w:t xml:space="preserve">”: Critical Reflections on </w:t>
      </w:r>
      <w:r w:rsidR="00966C07" w:rsidRPr="00EF4668">
        <w:rPr>
          <w:i/>
        </w:rPr>
        <w:t>C</w:t>
      </w:r>
      <w:r w:rsidR="002A6E73" w:rsidRPr="00EF4668">
        <w:rPr>
          <w:i/>
        </w:rPr>
        <w:t xml:space="preserve">anadian </w:t>
      </w:r>
      <w:r w:rsidR="00966C07" w:rsidRPr="00EF4668">
        <w:rPr>
          <w:i/>
        </w:rPr>
        <w:t>J</w:t>
      </w:r>
      <w:r w:rsidR="002A6E73" w:rsidRPr="00EF4668">
        <w:rPr>
          <w:i/>
        </w:rPr>
        <w:t xml:space="preserve">ournal of </w:t>
      </w:r>
      <w:r w:rsidR="00966C07" w:rsidRPr="00EF4668">
        <w:rPr>
          <w:i/>
        </w:rPr>
        <w:t>L</w:t>
      </w:r>
      <w:r w:rsidR="002A6E73" w:rsidRPr="00EF4668">
        <w:rPr>
          <w:i/>
        </w:rPr>
        <w:t xml:space="preserve">aw and </w:t>
      </w:r>
      <w:r w:rsidR="00966C07" w:rsidRPr="00EF4668">
        <w:rPr>
          <w:i/>
        </w:rPr>
        <w:t>S</w:t>
      </w:r>
      <w:r w:rsidR="002A6E73" w:rsidRPr="00EF4668">
        <w:rPr>
          <w:i/>
        </w:rPr>
        <w:t>ociety</w:t>
      </w:r>
      <w:r w:rsidR="002A6E73" w:rsidRPr="001E2C99">
        <w:t xml:space="preserve"> (2020) 35(2)</w:t>
      </w:r>
      <w:r w:rsidR="00966C07" w:rsidRPr="001E2C99">
        <w:t xml:space="preserve"> Special Issue</w:t>
      </w:r>
      <w:r w:rsidR="002A6E73" w:rsidRPr="001E2C99">
        <w:t xml:space="preserve"> </w:t>
      </w:r>
      <w:r w:rsidR="00966C07" w:rsidRPr="001E2C99">
        <w:t>– On the Margins of Trans Legal Change</w:t>
      </w:r>
    </w:p>
    <w:p w14:paraId="7B2B3C1F" w14:textId="77777777" w:rsidR="00900D25" w:rsidRPr="002A6E73" w:rsidRDefault="00900D25" w:rsidP="002A6E73">
      <w:pPr>
        <w:spacing w:after="0" w:line="360" w:lineRule="auto"/>
        <w:rPr>
          <w:rFonts w:ascii="Times New Roman" w:hAnsi="Times New Roman" w:cs="Times New Roman"/>
          <w:b/>
          <w:sz w:val="24"/>
          <w:szCs w:val="24"/>
        </w:rPr>
      </w:pPr>
    </w:p>
    <w:p w14:paraId="44AE7416" w14:textId="444A2484" w:rsidR="00966C07" w:rsidRPr="002A6E73" w:rsidRDefault="00DD02C3" w:rsidP="002A6E73">
      <w:pPr>
        <w:spacing w:after="0" w:line="360" w:lineRule="auto"/>
        <w:rPr>
          <w:rFonts w:ascii="Times New Roman" w:hAnsi="Times New Roman" w:cs="Times New Roman"/>
          <w:b/>
          <w:sz w:val="24"/>
          <w:szCs w:val="24"/>
        </w:rPr>
      </w:pPr>
      <w:r w:rsidRPr="002A6E73">
        <w:rPr>
          <w:rFonts w:ascii="Times New Roman" w:hAnsi="Times New Roman" w:cs="Times New Roman"/>
          <w:b/>
          <w:sz w:val="24"/>
          <w:szCs w:val="24"/>
        </w:rPr>
        <w:t>Gillian Calder</w:t>
      </w:r>
      <w:r w:rsidR="002A6E73">
        <w:rPr>
          <w:rStyle w:val="FootnoteReference"/>
          <w:rFonts w:ascii="Times New Roman" w:hAnsi="Times New Roman" w:cs="Times New Roman"/>
          <w:b/>
          <w:sz w:val="24"/>
          <w:szCs w:val="24"/>
        </w:rPr>
        <w:footnoteReference w:customMarkFollows="1" w:id="1"/>
        <w:t>*</w:t>
      </w:r>
    </w:p>
    <w:p w14:paraId="6361A3E9" w14:textId="4E56D245" w:rsidR="00BA591D" w:rsidRPr="001E2C99" w:rsidRDefault="00A027BA" w:rsidP="001E2C99">
      <w:pPr>
        <w:pStyle w:val="Heading2"/>
      </w:pPr>
      <w:r>
        <w:br/>
      </w:r>
      <w:r w:rsidR="00BA591D" w:rsidRPr="001E2C99">
        <w:t>Introduction: Transparency</w:t>
      </w:r>
      <w:bookmarkStart w:id="0" w:name="_GoBack"/>
      <w:bookmarkEnd w:id="0"/>
    </w:p>
    <w:p w14:paraId="33DA0C6B" w14:textId="77777777" w:rsidR="001B3E8B" w:rsidRPr="001B3E8B" w:rsidRDefault="001B3E8B" w:rsidP="001B3E8B">
      <w:pPr>
        <w:autoSpaceDE w:val="0"/>
        <w:autoSpaceDN w:val="0"/>
        <w:adjustRightInd w:val="0"/>
        <w:spacing w:after="0" w:line="240" w:lineRule="auto"/>
        <w:ind w:left="720"/>
        <w:rPr>
          <w:rFonts w:ascii="Times New Roman" w:hAnsi="Times New Roman" w:cs="Times New Roman"/>
          <w:i/>
          <w:sz w:val="24"/>
          <w:szCs w:val="24"/>
        </w:rPr>
      </w:pPr>
      <w:r w:rsidRPr="001B3E8B">
        <w:rPr>
          <w:rFonts w:ascii="Times New Roman" w:hAnsi="Times New Roman" w:cs="Times New Roman"/>
          <w:i/>
          <w:sz w:val="24"/>
          <w:szCs w:val="24"/>
        </w:rPr>
        <w:t>Toutefois, en réduisant l’existence trans à cette expérience de harcèlement, de discrimination et de violence et en reliant la transitude à un processus identitaire plutôt que matériel, ce modèle fixe le sujet trans dans sa marginalité et fait obstacle à son émancipation.</w:t>
      </w:r>
      <w:bookmarkStart w:id="1" w:name="_Ref65664369"/>
      <w:r w:rsidRPr="002A6E73">
        <w:rPr>
          <w:rStyle w:val="FootnoteReference"/>
          <w:rFonts w:ascii="Times New Roman" w:hAnsi="Times New Roman" w:cs="Times New Roman"/>
          <w:sz w:val="24"/>
          <w:szCs w:val="24"/>
        </w:rPr>
        <w:footnoteReference w:id="2"/>
      </w:r>
      <w:bookmarkEnd w:id="1"/>
      <w:r w:rsidR="00BA591D" w:rsidRPr="001B3E8B">
        <w:rPr>
          <w:rFonts w:ascii="Times New Roman" w:hAnsi="Times New Roman" w:cs="Times New Roman"/>
          <w:i/>
          <w:sz w:val="24"/>
          <w:szCs w:val="24"/>
        </w:rPr>
        <w:tab/>
      </w:r>
    </w:p>
    <w:p w14:paraId="4F1B387E" w14:textId="77777777" w:rsidR="001B3E8B" w:rsidRPr="001B3E8B" w:rsidRDefault="001B3E8B" w:rsidP="00BA591D">
      <w:pPr>
        <w:spacing w:after="0" w:line="240" w:lineRule="auto"/>
        <w:ind w:left="720" w:hanging="720"/>
        <w:rPr>
          <w:rFonts w:ascii="Times New Roman" w:hAnsi="Times New Roman" w:cs="Times New Roman"/>
          <w:i/>
          <w:sz w:val="24"/>
          <w:szCs w:val="24"/>
        </w:rPr>
      </w:pPr>
    </w:p>
    <w:p w14:paraId="62530885" w14:textId="77777777" w:rsidR="00BA591D" w:rsidRPr="001B3E8B" w:rsidRDefault="00BA591D" w:rsidP="001B3E8B">
      <w:pPr>
        <w:spacing w:after="0" w:line="240" w:lineRule="auto"/>
        <w:ind w:left="720"/>
        <w:rPr>
          <w:rFonts w:ascii="Times New Roman" w:hAnsi="Times New Roman" w:cs="Times New Roman"/>
          <w:i/>
          <w:sz w:val="24"/>
          <w:szCs w:val="24"/>
        </w:rPr>
      </w:pPr>
      <w:r w:rsidRPr="001B3E8B">
        <w:rPr>
          <w:rFonts w:ascii="Times New Roman" w:hAnsi="Times New Roman" w:cs="Times New Roman"/>
          <w:i/>
          <w:sz w:val="24"/>
          <w:szCs w:val="24"/>
        </w:rPr>
        <w:t>By reducing trans existence to such experience of harassment, discrimination and violence and by linking transitude to an identarian process instead of a material one, the model affixes the trans subject to its marginality and raises barriers to its emancipation.</w:t>
      </w:r>
      <w:bookmarkStart w:id="2" w:name="_Ref65492771"/>
      <w:r w:rsidRPr="002A6E73">
        <w:rPr>
          <w:rStyle w:val="FootnoteReference"/>
          <w:rFonts w:ascii="Times New Roman" w:hAnsi="Times New Roman" w:cs="Times New Roman"/>
          <w:sz w:val="24"/>
          <w:szCs w:val="24"/>
        </w:rPr>
        <w:footnoteReference w:id="3"/>
      </w:r>
      <w:bookmarkEnd w:id="2"/>
    </w:p>
    <w:p w14:paraId="267AD2D9" w14:textId="77777777" w:rsidR="00BA591D" w:rsidRDefault="00BA591D" w:rsidP="00BC272D">
      <w:pPr>
        <w:spacing w:after="0" w:line="360" w:lineRule="auto"/>
        <w:rPr>
          <w:rFonts w:ascii="Times New Roman" w:hAnsi="Times New Roman" w:cs="Times New Roman"/>
          <w:sz w:val="24"/>
          <w:szCs w:val="24"/>
        </w:rPr>
      </w:pPr>
    </w:p>
    <w:p w14:paraId="50F7A453" w14:textId="38807138" w:rsidR="00966C07" w:rsidRDefault="00F23AFB"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t>This volume</w:t>
      </w:r>
      <w:r w:rsidR="00955B7B">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arrives at a moment where issues facing transgender peoples in Canada, and in many ways globally, are more </w:t>
      </w:r>
      <w:r w:rsidR="00974751">
        <w:rPr>
          <w:rFonts w:ascii="Times New Roman" w:hAnsi="Times New Roman" w:cs="Times New Roman"/>
          <w:sz w:val="24"/>
          <w:szCs w:val="24"/>
        </w:rPr>
        <w:t>visible in the public realm</w:t>
      </w:r>
      <w:r>
        <w:rPr>
          <w:rFonts w:ascii="Times New Roman" w:hAnsi="Times New Roman" w:cs="Times New Roman"/>
          <w:sz w:val="24"/>
          <w:szCs w:val="24"/>
        </w:rPr>
        <w:t xml:space="preserve"> than at other moments in recent history.  Some of this is positive – shifts in human rights laws</w:t>
      </w:r>
      <w:bookmarkStart w:id="3" w:name="_Ref63677492"/>
      <w:r>
        <w:rPr>
          <w:rStyle w:val="FootnoteReference"/>
          <w:rFonts w:ascii="Times New Roman" w:hAnsi="Times New Roman" w:cs="Times New Roman"/>
          <w:sz w:val="24"/>
          <w:szCs w:val="24"/>
        </w:rPr>
        <w:footnoteReference w:id="5"/>
      </w:r>
      <w:bookmarkEnd w:id="3"/>
      <w:r>
        <w:rPr>
          <w:rFonts w:ascii="Times New Roman" w:hAnsi="Times New Roman" w:cs="Times New Roman"/>
          <w:sz w:val="24"/>
          <w:szCs w:val="24"/>
        </w:rPr>
        <w:t xml:space="preserve"> and in other formal legal venues</w:t>
      </w:r>
      <w:r w:rsidR="00B2123E">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Pr>
          <w:rFonts w:ascii="Times New Roman" w:hAnsi="Times New Roman" w:cs="Times New Roman"/>
          <w:sz w:val="24"/>
          <w:szCs w:val="24"/>
        </w:rPr>
        <w:lastRenderedPageBreak/>
        <w:t>recognitions in popular culture</w:t>
      </w:r>
      <w:r w:rsidR="00B2123E">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and increased scholarship</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001E2C99">
        <w:rPr>
          <w:rFonts w:ascii="Times New Roman" w:hAnsi="Times New Roman" w:cs="Times New Roman"/>
          <w:sz w:val="24"/>
          <w:szCs w:val="24"/>
        </w:rPr>
        <w:t xml:space="preserve">– </w:t>
      </w:r>
      <w:r>
        <w:rPr>
          <w:rFonts w:ascii="Times New Roman" w:hAnsi="Times New Roman" w:cs="Times New Roman"/>
          <w:sz w:val="24"/>
          <w:szCs w:val="24"/>
        </w:rPr>
        <w:t>and</w:t>
      </w:r>
      <w:r w:rsidR="001E2C99">
        <w:rPr>
          <w:rFonts w:ascii="Times New Roman" w:hAnsi="Times New Roman" w:cs="Times New Roman"/>
          <w:sz w:val="24"/>
          <w:szCs w:val="24"/>
        </w:rPr>
        <w:t xml:space="preserve"> </w:t>
      </w:r>
      <w:r>
        <w:rPr>
          <w:rFonts w:ascii="Times New Roman" w:hAnsi="Times New Roman" w:cs="Times New Roman"/>
          <w:sz w:val="24"/>
          <w:szCs w:val="24"/>
        </w:rPr>
        <w:t>some of it is breathtakingly difficult – rise in violence</w:t>
      </w:r>
      <w:r>
        <w:rPr>
          <w:rStyle w:val="FootnoteReference"/>
          <w:rFonts w:ascii="Times New Roman" w:hAnsi="Times New Roman" w:cs="Times New Roman"/>
          <w:sz w:val="24"/>
          <w:szCs w:val="24"/>
        </w:rPr>
        <w:footnoteReference w:id="9"/>
      </w:r>
      <w:r w:rsidR="00B2123E">
        <w:rPr>
          <w:rFonts w:ascii="Times New Roman" w:hAnsi="Times New Roman" w:cs="Times New Roman"/>
          <w:sz w:val="24"/>
          <w:szCs w:val="24"/>
        </w:rPr>
        <w:t xml:space="preserve"> and in particular </w:t>
      </w:r>
      <w:r>
        <w:rPr>
          <w:rFonts w:ascii="Times New Roman" w:hAnsi="Times New Roman" w:cs="Times New Roman"/>
          <w:sz w:val="24"/>
          <w:szCs w:val="24"/>
        </w:rPr>
        <w:t>violence</w:t>
      </w:r>
      <w:r w:rsidR="00B2123E">
        <w:rPr>
          <w:rFonts w:ascii="Times New Roman" w:hAnsi="Times New Roman" w:cs="Times New Roman"/>
          <w:sz w:val="24"/>
          <w:szCs w:val="24"/>
        </w:rPr>
        <w:t xml:space="preserve"> experienced by Black, Indigenous and peoples of colour (BIPOC) communities,</w:t>
      </w:r>
      <w:r w:rsidR="00994E5C">
        <w:rPr>
          <w:rStyle w:val="FootnoteReference"/>
          <w:rFonts w:ascii="Times New Roman" w:hAnsi="Times New Roman" w:cs="Times New Roman"/>
          <w:sz w:val="24"/>
          <w:szCs w:val="24"/>
        </w:rPr>
        <w:footnoteReference w:id="10"/>
      </w:r>
      <w:r w:rsidR="00B415F6">
        <w:rPr>
          <w:rFonts w:ascii="Times New Roman" w:hAnsi="Times New Roman" w:cs="Times New Roman"/>
          <w:sz w:val="24"/>
          <w:szCs w:val="24"/>
        </w:rPr>
        <w:t xml:space="preserve"> </w:t>
      </w:r>
      <w:r>
        <w:rPr>
          <w:rFonts w:ascii="Times New Roman" w:hAnsi="Times New Roman" w:cs="Times New Roman"/>
          <w:sz w:val="24"/>
          <w:szCs w:val="24"/>
        </w:rPr>
        <w:t>debates on social media</w:t>
      </w:r>
      <w:r w:rsidR="00CC2388">
        <w:rPr>
          <w:rFonts w:ascii="Times New Roman" w:hAnsi="Times New Roman" w:cs="Times New Roman"/>
          <w:sz w:val="24"/>
          <w:szCs w:val="24"/>
        </w:rPr>
        <w:t>,</w:t>
      </w:r>
      <w:r w:rsidR="005C0F6F">
        <w:rPr>
          <w:rStyle w:val="FootnoteReference"/>
          <w:rFonts w:ascii="Times New Roman" w:hAnsi="Times New Roman" w:cs="Times New Roman"/>
          <w:sz w:val="24"/>
          <w:szCs w:val="24"/>
        </w:rPr>
        <w:footnoteReference w:id="11"/>
      </w:r>
      <w:r w:rsidR="000B4E0D">
        <w:rPr>
          <w:rFonts w:ascii="Times New Roman" w:hAnsi="Times New Roman" w:cs="Times New Roman"/>
          <w:sz w:val="24"/>
          <w:szCs w:val="24"/>
        </w:rPr>
        <w:t xml:space="preserve"> divides in feminist communities</w:t>
      </w:r>
      <w:r w:rsidR="00B2123E">
        <w:rPr>
          <w:rFonts w:ascii="Times New Roman" w:hAnsi="Times New Roman" w:cs="Times New Roman"/>
          <w:sz w:val="24"/>
          <w:szCs w:val="24"/>
        </w:rPr>
        <w:t>,</w:t>
      </w:r>
      <w:r w:rsidR="000B4E0D">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sidR="005C0F6F">
        <w:rPr>
          <w:rFonts w:ascii="Times New Roman" w:hAnsi="Times New Roman" w:cs="Times New Roman"/>
          <w:sz w:val="24"/>
          <w:szCs w:val="24"/>
        </w:rPr>
        <w:t>a</w:t>
      </w:r>
      <w:r w:rsidR="008574D6">
        <w:rPr>
          <w:rFonts w:ascii="Times New Roman" w:hAnsi="Times New Roman" w:cs="Times New Roman"/>
          <w:sz w:val="24"/>
          <w:szCs w:val="24"/>
        </w:rPr>
        <w:t>nd regressive policy rollback</w:t>
      </w:r>
      <w:r w:rsidR="005C0F6F">
        <w:rPr>
          <w:rFonts w:ascii="Times New Roman" w:hAnsi="Times New Roman" w:cs="Times New Roman"/>
          <w:sz w:val="24"/>
          <w:szCs w:val="24"/>
        </w:rPr>
        <w:t xml:space="preserve"> in the UK and elsewhere</w:t>
      </w:r>
      <w:r w:rsidR="00B2123E">
        <w:rPr>
          <w:rFonts w:ascii="Times New Roman" w:hAnsi="Times New Roman" w:cs="Times New Roman"/>
          <w:sz w:val="24"/>
          <w:szCs w:val="24"/>
        </w:rPr>
        <w:t>.</w:t>
      </w:r>
      <w:r w:rsidR="005C0F6F">
        <w:rPr>
          <w:rStyle w:val="FootnoteReference"/>
          <w:rFonts w:ascii="Times New Roman" w:hAnsi="Times New Roman" w:cs="Times New Roman"/>
          <w:sz w:val="24"/>
          <w:szCs w:val="24"/>
        </w:rPr>
        <w:footnoteReference w:id="13"/>
      </w:r>
      <w:r w:rsidR="008574D6">
        <w:rPr>
          <w:rFonts w:ascii="Times New Roman" w:hAnsi="Times New Roman" w:cs="Times New Roman"/>
          <w:sz w:val="24"/>
          <w:szCs w:val="24"/>
        </w:rPr>
        <w:t xml:space="preserve">  And, as are</w:t>
      </w:r>
      <w:r w:rsidR="005C0F6F">
        <w:rPr>
          <w:rFonts w:ascii="Times New Roman" w:hAnsi="Times New Roman" w:cs="Times New Roman"/>
          <w:sz w:val="24"/>
          <w:szCs w:val="24"/>
        </w:rPr>
        <w:t xml:space="preserve"> many</w:t>
      </w:r>
      <w:r w:rsidR="008574D6">
        <w:rPr>
          <w:rFonts w:ascii="Times New Roman" w:hAnsi="Times New Roman" w:cs="Times New Roman"/>
          <w:sz w:val="24"/>
          <w:szCs w:val="24"/>
        </w:rPr>
        <w:t xml:space="preserve"> others, transgender people</w:t>
      </w:r>
      <w:r w:rsidR="005C0F6F">
        <w:rPr>
          <w:rFonts w:ascii="Times New Roman" w:hAnsi="Times New Roman" w:cs="Times New Roman"/>
          <w:sz w:val="24"/>
          <w:szCs w:val="24"/>
        </w:rPr>
        <w:t xml:space="preserve"> are negotiating the impact of a global pandemic with its isolation and its severe economic consequences.</w:t>
      </w:r>
    </w:p>
    <w:p w14:paraId="4767E7A8" w14:textId="77777777" w:rsidR="005C0F6F" w:rsidRDefault="005C0F6F" w:rsidP="00BC272D">
      <w:pPr>
        <w:spacing w:after="0" w:line="360" w:lineRule="auto"/>
        <w:rPr>
          <w:rFonts w:ascii="Times New Roman" w:hAnsi="Times New Roman" w:cs="Times New Roman"/>
          <w:sz w:val="24"/>
          <w:szCs w:val="24"/>
        </w:rPr>
      </w:pPr>
    </w:p>
    <w:p w14:paraId="782EFA42" w14:textId="77777777" w:rsidR="005C0F6F" w:rsidRDefault="005C0F6F"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t>Canadians, in particular, sit</w:t>
      </w:r>
      <w:r w:rsidR="00B760D1">
        <w:rPr>
          <w:rFonts w:ascii="Times New Roman" w:hAnsi="Times New Roman" w:cs="Times New Roman"/>
          <w:sz w:val="24"/>
          <w:szCs w:val="24"/>
        </w:rPr>
        <w:t xml:space="preserve"> at</w:t>
      </w:r>
      <w:r>
        <w:rPr>
          <w:rFonts w:ascii="Times New Roman" w:hAnsi="Times New Roman" w:cs="Times New Roman"/>
          <w:sz w:val="24"/>
          <w:szCs w:val="24"/>
        </w:rPr>
        <w:t xml:space="preserve"> a </w:t>
      </w:r>
      <w:r w:rsidR="008570E2">
        <w:rPr>
          <w:rFonts w:ascii="Times New Roman" w:hAnsi="Times New Roman" w:cs="Times New Roman"/>
          <w:sz w:val="24"/>
          <w:szCs w:val="24"/>
        </w:rPr>
        <w:t xml:space="preserve">unique </w:t>
      </w:r>
      <w:r>
        <w:rPr>
          <w:rFonts w:ascii="Times New Roman" w:hAnsi="Times New Roman" w:cs="Times New Roman"/>
          <w:sz w:val="24"/>
          <w:szCs w:val="24"/>
        </w:rPr>
        <w:t xml:space="preserve">historical legal moment that for the most part is wrapped in formal equality.  </w:t>
      </w:r>
      <w:r w:rsidR="00697996">
        <w:rPr>
          <w:rFonts w:ascii="Times New Roman" w:hAnsi="Times New Roman" w:cs="Times New Roman"/>
          <w:sz w:val="24"/>
          <w:szCs w:val="24"/>
        </w:rPr>
        <w:t xml:space="preserve">In June 2017 </w:t>
      </w:r>
      <w:r>
        <w:rPr>
          <w:rFonts w:ascii="Times New Roman" w:hAnsi="Times New Roman" w:cs="Times New Roman"/>
          <w:sz w:val="24"/>
          <w:szCs w:val="24"/>
        </w:rPr>
        <w:t>Bill C-16</w:t>
      </w:r>
      <w:r w:rsidR="008570E2">
        <w:rPr>
          <w:rFonts w:ascii="Times New Roman" w:hAnsi="Times New Roman" w:cs="Times New Roman"/>
          <w:sz w:val="24"/>
          <w:szCs w:val="24"/>
        </w:rPr>
        <w:t xml:space="preserve"> added “gender expression” and “gender identity”</w:t>
      </w:r>
      <w:r w:rsidR="00697996">
        <w:rPr>
          <w:rFonts w:ascii="Times New Roman" w:hAnsi="Times New Roman" w:cs="Times New Roman"/>
          <w:sz w:val="24"/>
          <w:szCs w:val="24"/>
        </w:rPr>
        <w:t xml:space="preserve"> to the list of prohibited</w:t>
      </w:r>
      <w:r w:rsidR="008570E2">
        <w:rPr>
          <w:rFonts w:ascii="Times New Roman" w:hAnsi="Times New Roman" w:cs="Times New Roman"/>
          <w:sz w:val="24"/>
          <w:szCs w:val="24"/>
        </w:rPr>
        <w:t xml:space="preserve"> grounds</w:t>
      </w:r>
      <w:r w:rsidR="00697996">
        <w:rPr>
          <w:rFonts w:ascii="Times New Roman" w:hAnsi="Times New Roman" w:cs="Times New Roman"/>
          <w:sz w:val="24"/>
          <w:szCs w:val="24"/>
        </w:rPr>
        <w:t xml:space="preserve"> of discrimination</w:t>
      </w:r>
      <w:r w:rsidR="008570E2">
        <w:rPr>
          <w:rFonts w:ascii="Times New Roman" w:hAnsi="Times New Roman" w:cs="Times New Roman"/>
          <w:sz w:val="24"/>
          <w:szCs w:val="24"/>
        </w:rPr>
        <w:t xml:space="preserve"> in the Canadian Human Rights Act, formalizing the parameters of anti-discrimination law at the federal level, and bringing the national legislative regime in line with what had already happened in all the provincial and territorial human rights regimes</w:t>
      </w:r>
      <w:r w:rsidR="00FF5D7E">
        <w:rPr>
          <w:rFonts w:ascii="Times New Roman" w:hAnsi="Times New Roman" w:cs="Times New Roman"/>
          <w:sz w:val="24"/>
          <w:szCs w:val="24"/>
        </w:rPr>
        <w:t>.</w:t>
      </w:r>
      <w:r w:rsidR="0011763D">
        <w:rPr>
          <w:rStyle w:val="FootnoteReference"/>
          <w:rFonts w:ascii="Times New Roman" w:hAnsi="Times New Roman" w:cs="Times New Roman"/>
          <w:sz w:val="24"/>
          <w:szCs w:val="24"/>
        </w:rPr>
        <w:footnoteReference w:id="14"/>
      </w:r>
      <w:r w:rsidR="008570E2">
        <w:rPr>
          <w:rFonts w:ascii="Times New Roman" w:hAnsi="Times New Roman" w:cs="Times New Roman"/>
          <w:sz w:val="24"/>
          <w:szCs w:val="24"/>
        </w:rPr>
        <w:t xml:space="preserve">  Hard fought for, this change is the starting point for many of the papers </w:t>
      </w:r>
      <w:r w:rsidR="008570E2">
        <w:rPr>
          <w:rFonts w:ascii="Times New Roman" w:hAnsi="Times New Roman" w:cs="Times New Roman"/>
          <w:sz w:val="24"/>
          <w:szCs w:val="24"/>
        </w:rPr>
        <w:lastRenderedPageBreak/>
        <w:t>in this vo</w:t>
      </w:r>
      <w:r w:rsidR="00FF5D7E">
        <w:rPr>
          <w:rFonts w:ascii="Times New Roman" w:hAnsi="Times New Roman" w:cs="Times New Roman"/>
          <w:sz w:val="24"/>
          <w:szCs w:val="24"/>
        </w:rPr>
        <w:t xml:space="preserve">lume, a recognition </w:t>
      </w:r>
      <w:r w:rsidR="008570E2">
        <w:rPr>
          <w:rFonts w:ascii="Times New Roman" w:hAnsi="Times New Roman" w:cs="Times New Roman"/>
          <w:sz w:val="24"/>
          <w:szCs w:val="24"/>
        </w:rPr>
        <w:t>that ensuring protections for Canadians facing discrimination for t</w:t>
      </w:r>
      <w:r w:rsidR="00FF5D7E">
        <w:rPr>
          <w:rFonts w:ascii="Times New Roman" w:hAnsi="Times New Roman" w:cs="Times New Roman"/>
          <w:sz w:val="24"/>
          <w:szCs w:val="24"/>
        </w:rPr>
        <w:t>he ways that they self-identify</w:t>
      </w:r>
      <w:r w:rsidR="008570E2">
        <w:rPr>
          <w:rFonts w:ascii="Times New Roman" w:hAnsi="Times New Roman" w:cs="Times New Roman"/>
          <w:sz w:val="24"/>
          <w:szCs w:val="24"/>
        </w:rPr>
        <w:t xml:space="preserve"> or live their gendered lives, is positive indeed.  And, at the same time, the volume also launches off this moment</w:t>
      </w:r>
      <w:r w:rsidR="00697996">
        <w:rPr>
          <w:rFonts w:ascii="Times New Roman" w:hAnsi="Times New Roman" w:cs="Times New Roman"/>
          <w:sz w:val="24"/>
          <w:szCs w:val="24"/>
        </w:rPr>
        <w:t xml:space="preserve"> with forward looking critiques of </w:t>
      </w:r>
      <w:r w:rsidR="00FB7247">
        <w:rPr>
          <w:rFonts w:ascii="Times New Roman" w:hAnsi="Times New Roman" w:cs="Times New Roman"/>
          <w:sz w:val="24"/>
          <w:szCs w:val="24"/>
        </w:rPr>
        <w:t xml:space="preserve">litigating through </w:t>
      </w:r>
      <w:r w:rsidR="00697996">
        <w:rPr>
          <w:rFonts w:ascii="Times New Roman" w:hAnsi="Times New Roman" w:cs="Times New Roman"/>
          <w:sz w:val="24"/>
          <w:szCs w:val="24"/>
        </w:rPr>
        <w:t>human rights</w:t>
      </w:r>
      <w:r w:rsidR="00FB7247">
        <w:rPr>
          <w:rFonts w:ascii="Times New Roman" w:hAnsi="Times New Roman" w:cs="Times New Roman"/>
          <w:sz w:val="24"/>
          <w:szCs w:val="24"/>
        </w:rPr>
        <w:t xml:space="preserve"> regimes, demonstrating</w:t>
      </w:r>
      <w:r w:rsidR="008570E2">
        <w:rPr>
          <w:rFonts w:ascii="Times New Roman" w:hAnsi="Times New Roman" w:cs="Times New Roman"/>
          <w:sz w:val="24"/>
          <w:szCs w:val="24"/>
        </w:rPr>
        <w:t xml:space="preserve"> the limits of rights-based claims</w:t>
      </w:r>
      <w:r w:rsidR="00FF5D7E">
        <w:rPr>
          <w:rFonts w:ascii="Times New Roman" w:hAnsi="Times New Roman" w:cs="Times New Roman"/>
          <w:sz w:val="24"/>
          <w:szCs w:val="24"/>
        </w:rPr>
        <w:t>,</w:t>
      </w:r>
      <w:bookmarkStart w:id="4" w:name="_Ref65491278"/>
      <w:r w:rsidR="0011763D">
        <w:rPr>
          <w:rStyle w:val="FootnoteReference"/>
          <w:rFonts w:ascii="Times New Roman" w:hAnsi="Times New Roman" w:cs="Times New Roman"/>
          <w:sz w:val="24"/>
          <w:szCs w:val="24"/>
        </w:rPr>
        <w:footnoteReference w:id="15"/>
      </w:r>
      <w:bookmarkEnd w:id="4"/>
      <w:r w:rsidR="008570E2">
        <w:rPr>
          <w:rFonts w:ascii="Times New Roman" w:hAnsi="Times New Roman" w:cs="Times New Roman"/>
          <w:sz w:val="24"/>
          <w:szCs w:val="24"/>
        </w:rPr>
        <w:t xml:space="preserve"> particularly for lives lived at the margins</w:t>
      </w:r>
      <w:r w:rsidR="00FF5D7E">
        <w:rPr>
          <w:rFonts w:ascii="Times New Roman" w:hAnsi="Times New Roman" w:cs="Times New Roman"/>
          <w:sz w:val="24"/>
          <w:szCs w:val="24"/>
        </w:rPr>
        <w:t>.</w:t>
      </w:r>
      <w:bookmarkStart w:id="5" w:name="_Ref65659878"/>
      <w:r w:rsidR="0011763D">
        <w:rPr>
          <w:rStyle w:val="FootnoteReference"/>
          <w:rFonts w:ascii="Times New Roman" w:hAnsi="Times New Roman" w:cs="Times New Roman"/>
          <w:sz w:val="24"/>
          <w:szCs w:val="24"/>
        </w:rPr>
        <w:footnoteReference w:id="16"/>
      </w:r>
      <w:bookmarkEnd w:id="5"/>
    </w:p>
    <w:p w14:paraId="3D43BB33" w14:textId="77777777" w:rsidR="000B4E0D" w:rsidRDefault="000B4E0D" w:rsidP="00BC272D">
      <w:pPr>
        <w:spacing w:after="0" w:line="360" w:lineRule="auto"/>
        <w:rPr>
          <w:rFonts w:ascii="Times New Roman" w:hAnsi="Times New Roman" w:cs="Times New Roman"/>
          <w:sz w:val="24"/>
          <w:szCs w:val="24"/>
        </w:rPr>
      </w:pPr>
    </w:p>
    <w:p w14:paraId="6A716BDE" w14:textId="67C33B48" w:rsidR="000B4E0D" w:rsidRDefault="000B4E0D"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t>It is a slightly unusual scholarly endeavour – the</w:t>
      </w:r>
      <w:r w:rsidR="005D7D20">
        <w:rPr>
          <w:rFonts w:ascii="Times New Roman" w:hAnsi="Times New Roman" w:cs="Times New Roman"/>
          <w:sz w:val="24"/>
          <w:szCs w:val="24"/>
        </w:rPr>
        <w:t xml:space="preserve"> review of a journal volume.  I</w:t>
      </w:r>
      <w:r>
        <w:rPr>
          <w:rFonts w:ascii="Times New Roman" w:hAnsi="Times New Roman" w:cs="Times New Roman"/>
          <w:sz w:val="24"/>
          <w:szCs w:val="24"/>
        </w:rPr>
        <w:t xml:space="preserve"> leap into</w:t>
      </w:r>
      <w:r w:rsidR="00697996">
        <w:rPr>
          <w:rFonts w:ascii="Times New Roman" w:hAnsi="Times New Roman" w:cs="Times New Roman"/>
          <w:sz w:val="24"/>
          <w:szCs w:val="24"/>
        </w:rPr>
        <w:t xml:space="preserve"> this review, however, with anticipation and determination</w:t>
      </w:r>
      <w:r>
        <w:rPr>
          <w:rFonts w:ascii="Times New Roman" w:hAnsi="Times New Roman" w:cs="Times New Roman"/>
          <w:sz w:val="24"/>
          <w:szCs w:val="24"/>
        </w:rPr>
        <w:t>.  It is a moment to ho</w:t>
      </w:r>
      <w:r w:rsidR="00697996">
        <w:rPr>
          <w:rFonts w:ascii="Times New Roman" w:hAnsi="Times New Roman" w:cs="Times New Roman"/>
          <w:sz w:val="24"/>
          <w:szCs w:val="24"/>
        </w:rPr>
        <w:t>ld up the work of these diverse emerging and prominent scholars,</w:t>
      </w:r>
      <w:r w:rsidR="00941D06">
        <w:rPr>
          <w:rFonts w:ascii="Times New Roman" w:hAnsi="Times New Roman" w:cs="Times New Roman"/>
          <w:sz w:val="24"/>
          <w:szCs w:val="24"/>
        </w:rPr>
        <w:t xml:space="preserve"> some of it autoethnographic,</w:t>
      </w:r>
      <w:r w:rsidR="00697996">
        <w:rPr>
          <w:rFonts w:ascii="Times New Roman" w:hAnsi="Times New Roman" w:cs="Times New Roman"/>
          <w:sz w:val="24"/>
          <w:szCs w:val="24"/>
        </w:rPr>
        <w:t xml:space="preserve"> and to interrogate the themes and tensions that arise in their </w:t>
      </w:r>
      <w:r w:rsidR="00192BAF">
        <w:rPr>
          <w:rFonts w:ascii="Times New Roman" w:hAnsi="Times New Roman" w:cs="Times New Roman"/>
          <w:sz w:val="24"/>
          <w:szCs w:val="24"/>
        </w:rPr>
        <w:t>work.  T</w:t>
      </w:r>
      <w:r w:rsidR="00697996">
        <w:rPr>
          <w:rFonts w:ascii="Times New Roman" w:hAnsi="Times New Roman" w:cs="Times New Roman"/>
          <w:sz w:val="24"/>
          <w:szCs w:val="24"/>
        </w:rPr>
        <w:t>ransgender and non-binary communities are</w:t>
      </w:r>
      <w:r w:rsidR="00192BAF">
        <w:rPr>
          <w:rFonts w:ascii="Times New Roman" w:hAnsi="Times New Roman" w:cs="Times New Roman"/>
          <w:sz w:val="24"/>
          <w:szCs w:val="24"/>
        </w:rPr>
        <w:t xml:space="preserve"> facing shifting challenges on many fronts</w:t>
      </w:r>
      <w:r w:rsidR="00BA239F">
        <w:rPr>
          <w:rFonts w:ascii="Times New Roman" w:hAnsi="Times New Roman" w:cs="Times New Roman"/>
          <w:sz w:val="24"/>
          <w:szCs w:val="24"/>
        </w:rPr>
        <w:t>, including from feminist communities,</w:t>
      </w:r>
      <w:r w:rsidR="00697996">
        <w:rPr>
          <w:rFonts w:ascii="Times New Roman" w:hAnsi="Times New Roman" w:cs="Times New Roman"/>
          <w:sz w:val="24"/>
          <w:szCs w:val="24"/>
        </w:rPr>
        <w:t xml:space="preserve"> and that was captured at the conference from which this collection springs.  Having this work in one collection, and with the articles sitting next to each other in conversation, as they are, creates another opportunity, which is to examine their contributions to the broader question of </w:t>
      </w:r>
      <w:r w:rsidR="00192BAF">
        <w:rPr>
          <w:rFonts w:ascii="Times New Roman" w:hAnsi="Times New Roman" w:cs="Times New Roman"/>
          <w:sz w:val="24"/>
          <w:szCs w:val="24"/>
        </w:rPr>
        <w:t>the connections and dissonances between trans legal studies and other areas of critical</w:t>
      </w:r>
      <w:r w:rsidR="00697996">
        <w:rPr>
          <w:rFonts w:ascii="Times New Roman" w:hAnsi="Times New Roman" w:cs="Times New Roman"/>
          <w:sz w:val="24"/>
          <w:szCs w:val="24"/>
        </w:rPr>
        <w:t xml:space="preserve"> legal inquiry.</w:t>
      </w:r>
    </w:p>
    <w:p w14:paraId="1C440369" w14:textId="77777777" w:rsidR="00697996" w:rsidRDefault="00697996" w:rsidP="00BC272D">
      <w:pPr>
        <w:spacing w:after="0" w:line="360" w:lineRule="auto"/>
        <w:rPr>
          <w:rFonts w:ascii="Times New Roman" w:hAnsi="Times New Roman" w:cs="Times New Roman"/>
          <w:sz w:val="24"/>
          <w:szCs w:val="24"/>
        </w:rPr>
      </w:pPr>
    </w:p>
    <w:p w14:paraId="78438BDD" w14:textId="0457A983" w:rsidR="00697996" w:rsidRDefault="00697996"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scholars </w:t>
      </w:r>
      <w:r w:rsidR="007F2333">
        <w:rPr>
          <w:rFonts w:ascii="Times New Roman" w:hAnsi="Times New Roman" w:cs="Times New Roman"/>
          <w:sz w:val="24"/>
          <w:szCs w:val="24"/>
        </w:rPr>
        <w:t xml:space="preserve">who </w:t>
      </w:r>
      <w:r>
        <w:rPr>
          <w:rFonts w:ascii="Times New Roman" w:hAnsi="Times New Roman" w:cs="Times New Roman"/>
          <w:sz w:val="24"/>
          <w:szCs w:val="24"/>
        </w:rPr>
        <w:t>are looking to do researc</w:t>
      </w:r>
      <w:r w:rsidR="00FF5D7E">
        <w:rPr>
          <w:rFonts w:ascii="Times New Roman" w:hAnsi="Times New Roman" w:cs="Times New Roman"/>
          <w:sz w:val="24"/>
          <w:szCs w:val="24"/>
        </w:rPr>
        <w:t>h on any particular legal issue</w:t>
      </w:r>
      <w:r w:rsidR="00192BAF">
        <w:rPr>
          <w:rFonts w:ascii="Times New Roman" w:hAnsi="Times New Roman" w:cs="Times New Roman"/>
          <w:sz w:val="24"/>
          <w:szCs w:val="24"/>
        </w:rPr>
        <w:t xml:space="preserve"> affecting trans and non-binary folk</w:t>
      </w:r>
      <w:r>
        <w:rPr>
          <w:rFonts w:ascii="Times New Roman" w:hAnsi="Times New Roman" w:cs="Times New Roman"/>
          <w:sz w:val="24"/>
          <w:szCs w:val="24"/>
        </w:rPr>
        <w:t>, there are a range of subjects</w:t>
      </w:r>
      <w:r w:rsidR="00192BAF">
        <w:rPr>
          <w:rFonts w:ascii="Times New Roman" w:hAnsi="Times New Roman" w:cs="Times New Roman"/>
          <w:sz w:val="24"/>
          <w:szCs w:val="24"/>
        </w:rPr>
        <w:t xml:space="preserve"> covered here</w:t>
      </w:r>
      <w:r>
        <w:rPr>
          <w:rFonts w:ascii="Times New Roman" w:hAnsi="Times New Roman" w:cs="Times New Roman"/>
          <w:sz w:val="24"/>
          <w:szCs w:val="24"/>
        </w:rPr>
        <w:t>: activism</w:t>
      </w:r>
      <w:r w:rsidR="00B32EA2">
        <w:rPr>
          <w:rFonts w:ascii="Times New Roman" w:hAnsi="Times New Roman" w:cs="Times New Roman"/>
          <w:sz w:val="24"/>
          <w:szCs w:val="24"/>
        </w:rPr>
        <w:t>,</w:t>
      </w:r>
      <w:bookmarkStart w:id="6" w:name="_Ref65661934"/>
      <w:r w:rsidR="00850E7A">
        <w:rPr>
          <w:rStyle w:val="FootnoteReference"/>
          <w:rFonts w:ascii="Times New Roman" w:hAnsi="Times New Roman" w:cs="Times New Roman"/>
          <w:sz w:val="24"/>
          <w:szCs w:val="24"/>
        </w:rPr>
        <w:footnoteReference w:id="17"/>
      </w:r>
      <w:bookmarkEnd w:id="6"/>
      <w:r>
        <w:rPr>
          <w:rFonts w:ascii="Times New Roman" w:hAnsi="Times New Roman" w:cs="Times New Roman"/>
          <w:sz w:val="24"/>
          <w:szCs w:val="24"/>
        </w:rPr>
        <w:t xml:space="preserve"> institutional memory</w:t>
      </w:r>
      <w:r w:rsidR="00B32EA2">
        <w:rPr>
          <w:rFonts w:ascii="Times New Roman" w:hAnsi="Times New Roman" w:cs="Times New Roman"/>
          <w:sz w:val="24"/>
          <w:szCs w:val="24"/>
        </w:rPr>
        <w:t>,</w:t>
      </w:r>
      <w:bookmarkStart w:id="7" w:name="_Ref65661145"/>
      <w:r w:rsidR="00850E7A">
        <w:rPr>
          <w:rStyle w:val="FootnoteReference"/>
          <w:rFonts w:ascii="Times New Roman" w:hAnsi="Times New Roman" w:cs="Times New Roman"/>
          <w:sz w:val="24"/>
          <w:szCs w:val="24"/>
        </w:rPr>
        <w:footnoteReference w:id="18"/>
      </w:r>
      <w:bookmarkEnd w:id="7"/>
      <w:r w:rsidR="005621C3">
        <w:rPr>
          <w:rFonts w:ascii="Times New Roman" w:hAnsi="Times New Roman" w:cs="Times New Roman"/>
          <w:sz w:val="24"/>
          <w:szCs w:val="24"/>
        </w:rPr>
        <w:t xml:space="preserve"> </w:t>
      </w:r>
      <w:r w:rsidR="005621C3">
        <w:rPr>
          <w:rFonts w:ascii="Times New Roman" w:hAnsi="Times New Roman" w:cs="Times New Roman"/>
          <w:sz w:val="24"/>
          <w:szCs w:val="24"/>
        </w:rPr>
        <w:lastRenderedPageBreak/>
        <w:t>employment law</w:t>
      </w:r>
      <w:r w:rsidR="00B32EA2">
        <w:rPr>
          <w:rFonts w:ascii="Times New Roman" w:hAnsi="Times New Roman" w:cs="Times New Roman"/>
          <w:sz w:val="24"/>
          <w:szCs w:val="24"/>
        </w:rPr>
        <w:t>,</w:t>
      </w:r>
      <w:bookmarkStart w:id="8" w:name="_Ref65661646"/>
      <w:r w:rsidR="00850E7A">
        <w:rPr>
          <w:rStyle w:val="FootnoteReference"/>
          <w:rFonts w:ascii="Times New Roman" w:hAnsi="Times New Roman" w:cs="Times New Roman"/>
          <w:sz w:val="24"/>
          <w:szCs w:val="24"/>
        </w:rPr>
        <w:footnoteReference w:id="19"/>
      </w:r>
      <w:bookmarkEnd w:id="8"/>
      <w:r w:rsidR="005621C3">
        <w:rPr>
          <w:rFonts w:ascii="Times New Roman" w:hAnsi="Times New Roman" w:cs="Times New Roman"/>
          <w:sz w:val="24"/>
          <w:szCs w:val="24"/>
        </w:rPr>
        <w:t xml:space="preserve"> prison reform</w:t>
      </w:r>
      <w:r w:rsidR="00B32EA2">
        <w:rPr>
          <w:rFonts w:ascii="Times New Roman" w:hAnsi="Times New Roman" w:cs="Times New Roman"/>
          <w:sz w:val="24"/>
          <w:szCs w:val="24"/>
        </w:rPr>
        <w:t>,</w:t>
      </w:r>
      <w:r w:rsidR="00850E7A">
        <w:rPr>
          <w:rStyle w:val="FootnoteReference"/>
          <w:rFonts w:ascii="Times New Roman" w:hAnsi="Times New Roman" w:cs="Times New Roman"/>
          <w:sz w:val="24"/>
          <w:szCs w:val="24"/>
        </w:rPr>
        <w:footnoteReference w:id="20"/>
      </w:r>
      <w:r w:rsidR="005621C3">
        <w:rPr>
          <w:rFonts w:ascii="Times New Roman" w:hAnsi="Times New Roman" w:cs="Times New Roman"/>
          <w:sz w:val="24"/>
          <w:szCs w:val="24"/>
        </w:rPr>
        <w:t xml:space="preserve"> school board regulation</w:t>
      </w:r>
      <w:r w:rsidR="00B32EA2">
        <w:rPr>
          <w:rFonts w:ascii="Times New Roman" w:hAnsi="Times New Roman" w:cs="Times New Roman"/>
          <w:sz w:val="24"/>
          <w:szCs w:val="24"/>
        </w:rPr>
        <w:t>,</w:t>
      </w:r>
      <w:bookmarkStart w:id="9" w:name="_Ref65661683"/>
      <w:r w:rsidR="00850E7A">
        <w:rPr>
          <w:rStyle w:val="FootnoteReference"/>
          <w:rFonts w:ascii="Times New Roman" w:hAnsi="Times New Roman" w:cs="Times New Roman"/>
          <w:sz w:val="24"/>
          <w:szCs w:val="24"/>
        </w:rPr>
        <w:footnoteReference w:id="21"/>
      </w:r>
      <w:bookmarkEnd w:id="9"/>
      <w:r w:rsidR="005621C3">
        <w:rPr>
          <w:rFonts w:ascii="Times New Roman" w:hAnsi="Times New Roman" w:cs="Times New Roman"/>
          <w:sz w:val="24"/>
          <w:szCs w:val="24"/>
        </w:rPr>
        <w:t xml:space="preserve"> accommodations at Universities and colleges</w:t>
      </w:r>
      <w:r w:rsidR="00B32EA2">
        <w:rPr>
          <w:rFonts w:ascii="Times New Roman" w:hAnsi="Times New Roman" w:cs="Times New Roman"/>
          <w:sz w:val="24"/>
          <w:szCs w:val="24"/>
        </w:rPr>
        <w:t>,</w:t>
      </w:r>
      <w:bookmarkStart w:id="10" w:name="_Ref65661721"/>
      <w:r w:rsidR="00850E7A">
        <w:rPr>
          <w:rStyle w:val="FootnoteReference"/>
          <w:rFonts w:ascii="Times New Roman" w:hAnsi="Times New Roman" w:cs="Times New Roman"/>
          <w:sz w:val="24"/>
          <w:szCs w:val="24"/>
        </w:rPr>
        <w:footnoteReference w:id="22"/>
      </w:r>
      <w:bookmarkEnd w:id="10"/>
      <w:r w:rsidR="005621C3">
        <w:rPr>
          <w:rFonts w:ascii="Times New Roman" w:hAnsi="Times New Roman" w:cs="Times New Roman"/>
          <w:sz w:val="24"/>
          <w:szCs w:val="24"/>
        </w:rPr>
        <w:t xml:space="preserve"> family law</w:t>
      </w:r>
      <w:r w:rsidR="00B32EA2">
        <w:rPr>
          <w:rFonts w:ascii="Times New Roman" w:hAnsi="Times New Roman" w:cs="Times New Roman"/>
          <w:sz w:val="24"/>
          <w:szCs w:val="24"/>
        </w:rPr>
        <w:t>,</w:t>
      </w:r>
      <w:bookmarkStart w:id="11" w:name="_Ref65661064"/>
      <w:r w:rsidR="00850E7A">
        <w:rPr>
          <w:rStyle w:val="FootnoteReference"/>
          <w:rFonts w:ascii="Times New Roman" w:hAnsi="Times New Roman" w:cs="Times New Roman"/>
          <w:sz w:val="24"/>
          <w:szCs w:val="24"/>
        </w:rPr>
        <w:footnoteReference w:id="23"/>
      </w:r>
      <w:bookmarkEnd w:id="11"/>
      <w:r w:rsidR="005621C3">
        <w:rPr>
          <w:rFonts w:ascii="Times New Roman" w:hAnsi="Times New Roman" w:cs="Times New Roman"/>
          <w:sz w:val="24"/>
          <w:szCs w:val="24"/>
        </w:rPr>
        <w:t xml:space="preserve"> identity documents</w:t>
      </w:r>
      <w:r w:rsidR="00B32EA2">
        <w:rPr>
          <w:rFonts w:ascii="Times New Roman" w:hAnsi="Times New Roman" w:cs="Times New Roman"/>
          <w:sz w:val="24"/>
          <w:szCs w:val="24"/>
        </w:rPr>
        <w:t>,</w:t>
      </w:r>
      <w:r w:rsidR="00850E7A">
        <w:rPr>
          <w:rStyle w:val="FootnoteReference"/>
          <w:rFonts w:ascii="Times New Roman" w:hAnsi="Times New Roman" w:cs="Times New Roman"/>
          <w:sz w:val="24"/>
          <w:szCs w:val="24"/>
        </w:rPr>
        <w:footnoteReference w:id="24"/>
      </w:r>
      <w:r w:rsidR="005621C3">
        <w:rPr>
          <w:rFonts w:ascii="Times New Roman" w:hAnsi="Times New Roman" w:cs="Times New Roman"/>
          <w:sz w:val="24"/>
          <w:szCs w:val="24"/>
        </w:rPr>
        <w:t xml:space="preserve"> social benefit law</w:t>
      </w:r>
      <w:r w:rsidR="00B32EA2">
        <w:rPr>
          <w:rFonts w:ascii="Times New Roman" w:hAnsi="Times New Roman" w:cs="Times New Roman"/>
          <w:sz w:val="24"/>
          <w:szCs w:val="24"/>
        </w:rPr>
        <w:t>,</w:t>
      </w:r>
      <w:r w:rsidR="00850E7A">
        <w:rPr>
          <w:rStyle w:val="FootnoteReference"/>
          <w:rFonts w:ascii="Times New Roman" w:hAnsi="Times New Roman" w:cs="Times New Roman"/>
          <w:sz w:val="24"/>
          <w:szCs w:val="24"/>
        </w:rPr>
        <w:footnoteReference w:id="25"/>
      </w:r>
      <w:r w:rsidR="005621C3">
        <w:rPr>
          <w:rFonts w:ascii="Times New Roman" w:hAnsi="Times New Roman" w:cs="Times New Roman"/>
          <w:sz w:val="24"/>
          <w:szCs w:val="24"/>
        </w:rPr>
        <w:t xml:space="preserve"> conversion therapies</w:t>
      </w:r>
      <w:r w:rsidR="00B32EA2">
        <w:rPr>
          <w:rFonts w:ascii="Times New Roman" w:hAnsi="Times New Roman" w:cs="Times New Roman"/>
          <w:sz w:val="24"/>
          <w:szCs w:val="24"/>
        </w:rPr>
        <w:t>,</w:t>
      </w:r>
      <w:bookmarkStart w:id="12" w:name="_Ref65662098"/>
      <w:r w:rsidR="00850E7A">
        <w:rPr>
          <w:rStyle w:val="FootnoteReference"/>
          <w:rFonts w:ascii="Times New Roman" w:hAnsi="Times New Roman" w:cs="Times New Roman"/>
          <w:sz w:val="24"/>
          <w:szCs w:val="24"/>
        </w:rPr>
        <w:footnoteReference w:id="26"/>
      </w:r>
      <w:bookmarkEnd w:id="12"/>
      <w:r w:rsidR="005621C3">
        <w:rPr>
          <w:rFonts w:ascii="Times New Roman" w:hAnsi="Times New Roman" w:cs="Times New Roman"/>
          <w:sz w:val="24"/>
          <w:szCs w:val="24"/>
        </w:rPr>
        <w:t xml:space="preserve"> and end-of-life care</w:t>
      </w:r>
      <w:r w:rsidR="00B32EA2">
        <w:rPr>
          <w:rFonts w:ascii="Times New Roman" w:hAnsi="Times New Roman" w:cs="Times New Roman"/>
          <w:sz w:val="24"/>
          <w:szCs w:val="24"/>
        </w:rPr>
        <w:t>,</w:t>
      </w:r>
      <w:bookmarkStart w:id="13" w:name="_Ref65662106"/>
      <w:r w:rsidR="00850E7A">
        <w:rPr>
          <w:rStyle w:val="FootnoteReference"/>
          <w:rFonts w:ascii="Times New Roman" w:hAnsi="Times New Roman" w:cs="Times New Roman"/>
          <w:sz w:val="24"/>
          <w:szCs w:val="24"/>
        </w:rPr>
        <w:footnoteReference w:id="27"/>
      </w:r>
      <w:bookmarkEnd w:id="13"/>
      <w:r w:rsidR="005621C3">
        <w:rPr>
          <w:rFonts w:ascii="Times New Roman" w:hAnsi="Times New Roman" w:cs="Times New Roman"/>
          <w:sz w:val="24"/>
          <w:szCs w:val="24"/>
        </w:rPr>
        <w:t xml:space="preserve"> to name but a few.</w:t>
      </w:r>
      <w:r w:rsidR="00850E7A">
        <w:rPr>
          <w:rFonts w:ascii="Times New Roman" w:hAnsi="Times New Roman" w:cs="Times New Roman"/>
          <w:sz w:val="24"/>
          <w:szCs w:val="24"/>
        </w:rPr>
        <w:t xml:space="preserve">  And for scholars interested in thinking carefully about the transgender legal subject, there are some attempts to connect the t</w:t>
      </w:r>
      <w:r w:rsidR="00192BAF">
        <w:rPr>
          <w:rFonts w:ascii="Times New Roman" w:hAnsi="Times New Roman" w:cs="Times New Roman"/>
          <w:sz w:val="24"/>
          <w:szCs w:val="24"/>
        </w:rPr>
        <w:t>hemes across these contributions</w:t>
      </w:r>
      <w:bookmarkStart w:id="14" w:name="_Ref65660269"/>
      <w:r w:rsidR="00850E7A">
        <w:rPr>
          <w:rStyle w:val="FootnoteReference"/>
          <w:rFonts w:ascii="Times New Roman" w:hAnsi="Times New Roman" w:cs="Times New Roman"/>
          <w:sz w:val="24"/>
          <w:szCs w:val="24"/>
        </w:rPr>
        <w:footnoteReference w:id="28"/>
      </w:r>
      <w:bookmarkEnd w:id="14"/>
      <w:r w:rsidR="00850E7A">
        <w:rPr>
          <w:rFonts w:ascii="Times New Roman" w:hAnsi="Times New Roman" w:cs="Times New Roman"/>
          <w:sz w:val="24"/>
          <w:szCs w:val="24"/>
        </w:rPr>
        <w:t xml:space="preserve"> as well as focused deep dives into the question.</w:t>
      </w:r>
      <w:r w:rsidR="00850E7A">
        <w:rPr>
          <w:rStyle w:val="FootnoteReference"/>
          <w:rFonts w:ascii="Times New Roman" w:hAnsi="Times New Roman" w:cs="Times New Roman"/>
          <w:sz w:val="24"/>
          <w:szCs w:val="24"/>
        </w:rPr>
        <w:footnoteReference w:id="29"/>
      </w:r>
      <w:r w:rsidR="00850E7A">
        <w:rPr>
          <w:rFonts w:ascii="Times New Roman" w:hAnsi="Times New Roman" w:cs="Times New Roman"/>
          <w:sz w:val="24"/>
          <w:szCs w:val="24"/>
        </w:rPr>
        <w:t xml:space="preserve">  It is a </w:t>
      </w:r>
      <w:r w:rsidR="00192BAF">
        <w:rPr>
          <w:rFonts w:ascii="Times New Roman" w:hAnsi="Times New Roman" w:cs="Times New Roman"/>
          <w:sz w:val="24"/>
          <w:szCs w:val="24"/>
        </w:rPr>
        <w:t xml:space="preserve">rich resource, a </w:t>
      </w:r>
      <w:r w:rsidR="003679CC">
        <w:rPr>
          <w:rFonts w:ascii="Times New Roman" w:hAnsi="Times New Roman" w:cs="Times New Roman"/>
          <w:sz w:val="24"/>
          <w:szCs w:val="24"/>
        </w:rPr>
        <w:t>diverse yet euphonious set of voices</w:t>
      </w:r>
      <w:r w:rsidR="00850E7A">
        <w:rPr>
          <w:rFonts w:ascii="Times New Roman" w:hAnsi="Times New Roman" w:cs="Times New Roman"/>
          <w:sz w:val="24"/>
          <w:szCs w:val="24"/>
        </w:rPr>
        <w:t>.  But most importantly, it is a volume dedicated to interrogating the power that law holds to exclude in ways that “go far beyond the scope of gender identities and experiences.”</w:t>
      </w:r>
      <w:r w:rsidR="00850E7A">
        <w:rPr>
          <w:rStyle w:val="FootnoteReference"/>
          <w:rFonts w:ascii="Times New Roman" w:hAnsi="Times New Roman" w:cs="Times New Roman"/>
          <w:sz w:val="24"/>
          <w:szCs w:val="24"/>
        </w:rPr>
        <w:footnoteReference w:id="30"/>
      </w:r>
      <w:r w:rsidR="00192BAF">
        <w:rPr>
          <w:rFonts w:ascii="Times New Roman" w:hAnsi="Times New Roman" w:cs="Times New Roman"/>
          <w:sz w:val="24"/>
          <w:szCs w:val="24"/>
        </w:rPr>
        <w:t xml:space="preserve"> </w:t>
      </w:r>
      <w:r w:rsidR="003679CC">
        <w:rPr>
          <w:rFonts w:ascii="Times New Roman" w:hAnsi="Times New Roman" w:cs="Times New Roman"/>
          <w:sz w:val="24"/>
          <w:szCs w:val="24"/>
        </w:rPr>
        <w:t>The complexity of issues taken up in this volume</w:t>
      </w:r>
      <w:r w:rsidR="00566EC4">
        <w:rPr>
          <w:rFonts w:ascii="Times New Roman" w:hAnsi="Times New Roman" w:cs="Times New Roman"/>
          <w:sz w:val="24"/>
          <w:szCs w:val="24"/>
        </w:rPr>
        <w:t xml:space="preserve"> are in</w:t>
      </w:r>
      <w:r w:rsidR="00850E7A">
        <w:rPr>
          <w:rFonts w:ascii="Times New Roman" w:hAnsi="Times New Roman" w:cs="Times New Roman"/>
          <w:sz w:val="24"/>
          <w:szCs w:val="24"/>
        </w:rPr>
        <w:t xml:space="preserve"> no way, shape or form, homogenous</w:t>
      </w:r>
      <w:r w:rsidR="00566EC4">
        <w:rPr>
          <w:rFonts w:ascii="Times New Roman" w:hAnsi="Times New Roman" w:cs="Times New Roman"/>
          <w:sz w:val="24"/>
          <w:szCs w:val="24"/>
        </w:rPr>
        <w:t>; what may be colloquially seen as the “trans legal movement” is explored as a diverse set of movements with issues that cut across all areas of legal practice, study and experience</w:t>
      </w:r>
      <w:r w:rsidR="00850E7A">
        <w:rPr>
          <w:rFonts w:ascii="Times New Roman" w:hAnsi="Times New Roman" w:cs="Times New Roman"/>
          <w:sz w:val="24"/>
          <w:szCs w:val="24"/>
        </w:rPr>
        <w:t>.</w:t>
      </w:r>
      <w:r w:rsidR="00DA1F15">
        <w:rPr>
          <w:rFonts w:ascii="Times New Roman" w:hAnsi="Times New Roman" w:cs="Times New Roman"/>
          <w:sz w:val="24"/>
          <w:szCs w:val="24"/>
        </w:rPr>
        <w:t xml:space="preserve">  </w:t>
      </w:r>
      <w:r w:rsidR="00566EC4">
        <w:rPr>
          <w:rFonts w:ascii="Times New Roman" w:hAnsi="Times New Roman" w:cs="Times New Roman"/>
          <w:sz w:val="24"/>
          <w:szCs w:val="24"/>
        </w:rPr>
        <w:t xml:space="preserve">As </w:t>
      </w:r>
      <w:proofErr w:type="spellStart"/>
      <w:r w:rsidR="00566EC4">
        <w:rPr>
          <w:rFonts w:ascii="Times New Roman" w:hAnsi="Times New Roman" w:cs="Times New Roman"/>
          <w:sz w:val="24"/>
          <w:szCs w:val="24"/>
        </w:rPr>
        <w:t>Cossman</w:t>
      </w:r>
      <w:proofErr w:type="spellEnd"/>
      <w:r w:rsidR="00566EC4">
        <w:rPr>
          <w:rFonts w:ascii="Times New Roman" w:hAnsi="Times New Roman" w:cs="Times New Roman"/>
          <w:sz w:val="24"/>
          <w:szCs w:val="24"/>
        </w:rPr>
        <w:t xml:space="preserve"> and </w:t>
      </w:r>
      <w:proofErr w:type="spellStart"/>
      <w:r w:rsidR="00566EC4">
        <w:rPr>
          <w:rFonts w:ascii="Times New Roman" w:hAnsi="Times New Roman" w:cs="Times New Roman"/>
          <w:sz w:val="24"/>
          <w:szCs w:val="24"/>
        </w:rPr>
        <w:t>Leckey</w:t>
      </w:r>
      <w:proofErr w:type="spellEnd"/>
      <w:r w:rsidR="00566EC4">
        <w:rPr>
          <w:rFonts w:ascii="Times New Roman" w:hAnsi="Times New Roman" w:cs="Times New Roman"/>
          <w:sz w:val="24"/>
          <w:szCs w:val="24"/>
        </w:rPr>
        <w:t xml:space="preserve"> say in their introduction, t</w:t>
      </w:r>
      <w:r w:rsidR="00DA1F15">
        <w:rPr>
          <w:rFonts w:ascii="Times New Roman" w:hAnsi="Times New Roman" w:cs="Times New Roman"/>
          <w:sz w:val="24"/>
          <w:szCs w:val="24"/>
        </w:rPr>
        <w:t>he volume collectively offers themes</w:t>
      </w:r>
      <w:r w:rsidR="00566EC4">
        <w:rPr>
          <w:rFonts w:ascii="Times New Roman" w:hAnsi="Times New Roman" w:cs="Times New Roman"/>
          <w:sz w:val="24"/>
          <w:szCs w:val="24"/>
        </w:rPr>
        <w:t xml:space="preserve"> that are</w:t>
      </w:r>
      <w:r w:rsidR="00DA1F15">
        <w:rPr>
          <w:rFonts w:ascii="Times New Roman" w:hAnsi="Times New Roman" w:cs="Times New Roman"/>
          <w:sz w:val="24"/>
          <w:szCs w:val="24"/>
        </w:rPr>
        <w:t xml:space="preserve">, “granular and quotidian, dispersed and </w:t>
      </w:r>
      <w:proofErr w:type="spellStart"/>
      <w:r w:rsidR="00DA1F15">
        <w:rPr>
          <w:rFonts w:ascii="Times New Roman" w:hAnsi="Times New Roman" w:cs="Times New Roman"/>
          <w:sz w:val="24"/>
          <w:szCs w:val="24"/>
        </w:rPr>
        <w:t>tentacular</w:t>
      </w:r>
      <w:proofErr w:type="spellEnd"/>
      <w:r w:rsidR="00566EC4">
        <w:rPr>
          <w:rFonts w:ascii="Times New Roman" w:hAnsi="Times New Roman" w:cs="Times New Roman"/>
          <w:sz w:val="24"/>
          <w:szCs w:val="24"/>
        </w:rPr>
        <w:t>;</w:t>
      </w:r>
      <w:r w:rsidR="00DA1F15">
        <w:rPr>
          <w:rFonts w:ascii="Times New Roman" w:hAnsi="Times New Roman" w:cs="Times New Roman"/>
          <w:sz w:val="24"/>
          <w:szCs w:val="24"/>
        </w:rPr>
        <w:t>”</w:t>
      </w:r>
      <w:r w:rsidR="007D6A93">
        <w:rPr>
          <w:rStyle w:val="FootnoteReference"/>
          <w:rFonts w:ascii="Times New Roman" w:hAnsi="Times New Roman" w:cs="Times New Roman"/>
          <w:sz w:val="24"/>
          <w:szCs w:val="24"/>
        </w:rPr>
        <w:footnoteReference w:id="31"/>
      </w:r>
      <w:r w:rsidR="00566EC4">
        <w:rPr>
          <w:rFonts w:ascii="Times New Roman" w:hAnsi="Times New Roman" w:cs="Times New Roman"/>
          <w:sz w:val="24"/>
          <w:szCs w:val="24"/>
        </w:rPr>
        <w:t xml:space="preserve"> and it is the uniqueness of these themes that I aim here to explore.</w:t>
      </w:r>
    </w:p>
    <w:p w14:paraId="52598A61" w14:textId="77777777" w:rsidR="00DA1F15" w:rsidRDefault="00DA1F15" w:rsidP="00BC272D">
      <w:pPr>
        <w:spacing w:after="0" w:line="360" w:lineRule="auto"/>
        <w:rPr>
          <w:rFonts w:ascii="Times New Roman" w:hAnsi="Times New Roman" w:cs="Times New Roman"/>
          <w:sz w:val="24"/>
          <w:szCs w:val="24"/>
        </w:rPr>
      </w:pPr>
    </w:p>
    <w:p w14:paraId="501E970F" w14:textId="320EC395" w:rsidR="00DA1F15" w:rsidRDefault="00EC6018"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t>My</w:t>
      </w:r>
      <w:r w:rsidR="00DA1F15">
        <w:rPr>
          <w:rFonts w:ascii="Times New Roman" w:hAnsi="Times New Roman" w:cs="Times New Roman"/>
          <w:sz w:val="24"/>
          <w:szCs w:val="24"/>
        </w:rPr>
        <w:t xml:space="preserve"> aim, in th</w:t>
      </w:r>
      <w:r w:rsidR="00566EC4">
        <w:rPr>
          <w:rFonts w:ascii="Times New Roman" w:hAnsi="Times New Roman" w:cs="Times New Roman"/>
          <w:sz w:val="24"/>
          <w:szCs w:val="24"/>
        </w:rPr>
        <w:t>is</w:t>
      </w:r>
      <w:r w:rsidR="00DA1F15">
        <w:rPr>
          <w:rFonts w:ascii="Times New Roman" w:hAnsi="Times New Roman" w:cs="Times New Roman"/>
          <w:sz w:val="24"/>
          <w:szCs w:val="24"/>
        </w:rPr>
        <w:t xml:space="preserve"> review, is to take up the challenge posed by Singer and </w:t>
      </w:r>
      <w:proofErr w:type="spellStart"/>
      <w:r w:rsidR="00DA1F15">
        <w:rPr>
          <w:rFonts w:ascii="Times New Roman" w:hAnsi="Times New Roman" w:cs="Times New Roman"/>
          <w:sz w:val="24"/>
          <w:szCs w:val="24"/>
        </w:rPr>
        <w:t>Katri</w:t>
      </w:r>
      <w:proofErr w:type="spellEnd"/>
      <w:r w:rsidR="00DA1F15">
        <w:rPr>
          <w:rFonts w:ascii="Times New Roman" w:hAnsi="Times New Roman" w:cs="Times New Roman"/>
          <w:sz w:val="24"/>
          <w:szCs w:val="24"/>
        </w:rPr>
        <w:t xml:space="preserve"> in their foreword – to turn a critical, legal and emotional gaze towards trans people at the margins,</w:t>
      </w:r>
      <w:r w:rsidR="00DA1F15">
        <w:rPr>
          <w:rStyle w:val="FootnoteReference"/>
          <w:rFonts w:ascii="Times New Roman" w:hAnsi="Times New Roman" w:cs="Times New Roman"/>
          <w:sz w:val="24"/>
          <w:szCs w:val="24"/>
        </w:rPr>
        <w:footnoteReference w:id="32"/>
      </w:r>
      <w:r w:rsidR="00FB7247">
        <w:rPr>
          <w:rFonts w:ascii="Times New Roman" w:hAnsi="Times New Roman" w:cs="Times New Roman"/>
          <w:sz w:val="24"/>
          <w:szCs w:val="24"/>
        </w:rPr>
        <w:t xml:space="preserve"> and tease out of these</w:t>
      </w:r>
      <w:r w:rsidR="00DA1F15">
        <w:rPr>
          <w:rFonts w:ascii="Times New Roman" w:hAnsi="Times New Roman" w:cs="Times New Roman"/>
          <w:sz w:val="24"/>
          <w:szCs w:val="24"/>
        </w:rPr>
        <w:t xml:space="preserve"> articles, diverse as they are, some common threads and themes.  </w:t>
      </w:r>
      <w:r>
        <w:rPr>
          <w:rFonts w:ascii="Times New Roman" w:hAnsi="Times New Roman" w:cs="Times New Roman"/>
          <w:sz w:val="24"/>
          <w:szCs w:val="24"/>
        </w:rPr>
        <w:t>I take as the</w:t>
      </w:r>
      <w:r w:rsidR="00DA1F15">
        <w:rPr>
          <w:rFonts w:ascii="Times New Roman" w:hAnsi="Times New Roman" w:cs="Times New Roman"/>
          <w:sz w:val="24"/>
          <w:szCs w:val="24"/>
        </w:rPr>
        <w:t xml:space="preserve"> starting point, </w:t>
      </w:r>
      <w:r w:rsidR="00DA1F15">
        <w:rPr>
          <w:rFonts w:ascii="Times New Roman" w:hAnsi="Times New Roman" w:cs="Times New Roman"/>
          <w:sz w:val="24"/>
          <w:szCs w:val="24"/>
        </w:rPr>
        <w:lastRenderedPageBreak/>
        <w:t xml:space="preserve">as most of the authors do, that it is a common good that the law has changed in Canada, to include trans and non-binary peoples in its articulation of who is worthy of </w:t>
      </w:r>
      <w:r>
        <w:rPr>
          <w:rFonts w:ascii="Times New Roman" w:hAnsi="Times New Roman" w:cs="Times New Roman"/>
          <w:sz w:val="24"/>
          <w:szCs w:val="24"/>
        </w:rPr>
        <w:t>human rights protection.  And I follow them, as they invite all readers</w:t>
      </w:r>
      <w:r w:rsidR="00DA1F15">
        <w:rPr>
          <w:rFonts w:ascii="Times New Roman" w:hAnsi="Times New Roman" w:cs="Times New Roman"/>
          <w:sz w:val="24"/>
          <w:szCs w:val="24"/>
        </w:rPr>
        <w:t xml:space="preserve"> to do as well, to see how this protection is limited and formal,</w:t>
      </w:r>
      <w:r w:rsidR="00FF5D7E">
        <w:rPr>
          <w:rFonts w:ascii="Times New Roman" w:hAnsi="Times New Roman" w:cs="Times New Roman"/>
          <w:sz w:val="24"/>
          <w:szCs w:val="24"/>
        </w:rPr>
        <w:t xml:space="preserve"> and how the important material</w:t>
      </w:r>
      <w:r w:rsidR="00DA1F15">
        <w:rPr>
          <w:rFonts w:ascii="Times New Roman" w:hAnsi="Times New Roman" w:cs="Times New Roman"/>
          <w:sz w:val="24"/>
          <w:szCs w:val="24"/>
        </w:rPr>
        <w:t xml:space="preserve"> and affective changes that should flow, in many spaces and places</w:t>
      </w:r>
      <w:r w:rsidR="00FB7247">
        <w:rPr>
          <w:rFonts w:ascii="Times New Roman" w:hAnsi="Times New Roman" w:cs="Times New Roman"/>
          <w:sz w:val="24"/>
          <w:szCs w:val="24"/>
        </w:rPr>
        <w:t>,</w:t>
      </w:r>
      <w:r w:rsidR="00DA1F15">
        <w:rPr>
          <w:rFonts w:ascii="Times New Roman" w:hAnsi="Times New Roman" w:cs="Times New Roman"/>
          <w:sz w:val="24"/>
          <w:szCs w:val="24"/>
        </w:rPr>
        <w:t xml:space="preserve"> are slow to happen.</w:t>
      </w:r>
      <w:r w:rsidR="00DA1F15">
        <w:rPr>
          <w:rStyle w:val="FootnoteReference"/>
          <w:rFonts w:ascii="Times New Roman" w:hAnsi="Times New Roman" w:cs="Times New Roman"/>
          <w:sz w:val="24"/>
          <w:szCs w:val="24"/>
        </w:rPr>
        <w:footnoteReference w:id="33"/>
      </w:r>
    </w:p>
    <w:p w14:paraId="409602E6" w14:textId="77777777" w:rsidR="00DA1F15" w:rsidRDefault="00DA1F15" w:rsidP="00BC272D">
      <w:pPr>
        <w:spacing w:after="0" w:line="360" w:lineRule="auto"/>
        <w:rPr>
          <w:rFonts w:ascii="Times New Roman" w:hAnsi="Times New Roman" w:cs="Times New Roman"/>
          <w:sz w:val="24"/>
          <w:szCs w:val="24"/>
        </w:rPr>
      </w:pPr>
    </w:p>
    <w:p w14:paraId="55FA1356" w14:textId="67F23AD8" w:rsidR="00DA1F15" w:rsidRDefault="00EC6018" w:rsidP="00BC272D">
      <w:pPr>
        <w:spacing w:after="0" w:line="360" w:lineRule="auto"/>
      </w:pPr>
      <w:r>
        <w:rPr>
          <w:rFonts w:ascii="Times New Roman" w:hAnsi="Times New Roman" w:cs="Times New Roman"/>
          <w:sz w:val="24"/>
          <w:szCs w:val="24"/>
        </w:rPr>
        <w:t xml:space="preserve">I </w:t>
      </w:r>
      <w:r w:rsidR="00DA1F15">
        <w:rPr>
          <w:rFonts w:ascii="Times New Roman" w:hAnsi="Times New Roman" w:cs="Times New Roman"/>
          <w:sz w:val="24"/>
          <w:szCs w:val="24"/>
        </w:rPr>
        <w:t xml:space="preserve">have divided the review into four sections: the granular, the quotidian, the dispersed and the </w:t>
      </w:r>
      <w:proofErr w:type="spellStart"/>
      <w:r w:rsidR="00DA1F15">
        <w:rPr>
          <w:rFonts w:ascii="Times New Roman" w:hAnsi="Times New Roman" w:cs="Times New Roman"/>
          <w:sz w:val="24"/>
          <w:szCs w:val="24"/>
        </w:rPr>
        <w:t>tentacular</w:t>
      </w:r>
      <w:proofErr w:type="spellEnd"/>
      <w:r w:rsidR="00DA1F15">
        <w:rPr>
          <w:rFonts w:ascii="Times New Roman" w:hAnsi="Times New Roman" w:cs="Times New Roman"/>
          <w:sz w:val="24"/>
          <w:szCs w:val="24"/>
        </w:rPr>
        <w:t xml:space="preserve">.  And </w:t>
      </w:r>
      <w:r>
        <w:rPr>
          <w:rFonts w:ascii="Times New Roman" w:hAnsi="Times New Roman" w:cs="Times New Roman"/>
          <w:sz w:val="24"/>
          <w:szCs w:val="24"/>
        </w:rPr>
        <w:t xml:space="preserve">I </w:t>
      </w:r>
      <w:r w:rsidR="00DA1F15">
        <w:rPr>
          <w:rFonts w:ascii="Times New Roman" w:hAnsi="Times New Roman" w:cs="Times New Roman"/>
          <w:sz w:val="24"/>
          <w:szCs w:val="24"/>
        </w:rPr>
        <w:t xml:space="preserve">look at the contributions these 22 scholars make in mapping out the contours of the trans legal imaginary, as they were asked to do in the three </w:t>
      </w:r>
      <w:r w:rsidR="00FB7247">
        <w:rPr>
          <w:rFonts w:ascii="Times New Roman" w:hAnsi="Times New Roman" w:cs="Times New Roman"/>
          <w:sz w:val="24"/>
          <w:szCs w:val="24"/>
        </w:rPr>
        <w:t xml:space="preserve">day </w:t>
      </w:r>
      <w:r w:rsidR="00DA1F15">
        <w:rPr>
          <w:rFonts w:ascii="Times New Roman" w:hAnsi="Times New Roman" w:cs="Times New Roman"/>
          <w:sz w:val="24"/>
          <w:szCs w:val="24"/>
        </w:rPr>
        <w:t>symposium in May 2019, when they were able to, and did, gather.  The themes</w:t>
      </w:r>
      <w:r w:rsidR="00074851">
        <w:rPr>
          <w:rFonts w:ascii="Times New Roman" w:hAnsi="Times New Roman" w:cs="Times New Roman"/>
          <w:sz w:val="24"/>
          <w:szCs w:val="24"/>
        </w:rPr>
        <w:t>, questions and tensions</w:t>
      </w:r>
      <w:r w:rsidR="00DA1F15">
        <w:rPr>
          <w:rFonts w:ascii="Times New Roman" w:hAnsi="Times New Roman" w:cs="Times New Roman"/>
          <w:sz w:val="24"/>
          <w:szCs w:val="24"/>
        </w:rPr>
        <w:t xml:space="preserve"> that </w:t>
      </w:r>
      <w:r w:rsidR="00797093">
        <w:rPr>
          <w:rFonts w:ascii="Times New Roman" w:hAnsi="Times New Roman" w:cs="Times New Roman"/>
          <w:sz w:val="24"/>
          <w:szCs w:val="24"/>
        </w:rPr>
        <w:t>animate their</w:t>
      </w:r>
      <w:r w:rsidR="00FF5D7E">
        <w:rPr>
          <w:rFonts w:ascii="Times New Roman" w:hAnsi="Times New Roman" w:cs="Times New Roman"/>
          <w:sz w:val="24"/>
          <w:szCs w:val="24"/>
        </w:rPr>
        <w:t xml:space="preserve"> work</w:t>
      </w:r>
      <w:r w:rsidR="00797093">
        <w:rPr>
          <w:rFonts w:ascii="Times New Roman" w:hAnsi="Times New Roman" w:cs="Times New Roman"/>
          <w:sz w:val="24"/>
          <w:szCs w:val="24"/>
        </w:rPr>
        <w:t>s</w:t>
      </w:r>
      <w:r w:rsidR="00FF5D7E">
        <w:rPr>
          <w:rFonts w:ascii="Times New Roman" w:hAnsi="Times New Roman" w:cs="Times New Roman"/>
          <w:sz w:val="24"/>
          <w:szCs w:val="24"/>
        </w:rPr>
        <w:t xml:space="preserve"> </w:t>
      </w:r>
      <w:r w:rsidR="00566EC4">
        <w:rPr>
          <w:rFonts w:ascii="Times New Roman" w:hAnsi="Times New Roman" w:cs="Times New Roman"/>
          <w:sz w:val="24"/>
          <w:szCs w:val="24"/>
        </w:rPr>
        <w:t>are extensive.  My aim</w:t>
      </w:r>
      <w:r w:rsidR="006142C8">
        <w:rPr>
          <w:rFonts w:ascii="Times New Roman" w:hAnsi="Times New Roman" w:cs="Times New Roman"/>
          <w:sz w:val="24"/>
          <w:szCs w:val="24"/>
        </w:rPr>
        <w:t xml:space="preserve"> here is to tease out some of the connecting threads in a way that will bring readers into the volume for a deeper discovery of its richness for trans legal studies and beyond.</w:t>
      </w:r>
    </w:p>
    <w:p w14:paraId="75C4A5A7" w14:textId="77777777" w:rsidR="00850E7A" w:rsidRDefault="00850E7A" w:rsidP="00BC272D">
      <w:pPr>
        <w:spacing w:after="0" w:line="360" w:lineRule="auto"/>
        <w:rPr>
          <w:rFonts w:ascii="Times New Roman" w:hAnsi="Times New Roman" w:cs="Times New Roman"/>
          <w:sz w:val="24"/>
          <w:szCs w:val="24"/>
        </w:rPr>
      </w:pPr>
    </w:p>
    <w:p w14:paraId="1413E897" w14:textId="617AB13C" w:rsidR="00B3403C" w:rsidRDefault="002E3950" w:rsidP="001C1FBF">
      <w:pPr>
        <w:pStyle w:val="Heading2"/>
      </w:pPr>
      <w:r>
        <w:t>The Granular:  The Grainy and the</w:t>
      </w:r>
      <w:r w:rsidR="0006133D" w:rsidRPr="00FB7247">
        <w:t xml:space="preserve"> Gritty</w:t>
      </w:r>
    </w:p>
    <w:p w14:paraId="5ACE9224" w14:textId="6957CF2C" w:rsidR="00A453F2" w:rsidRPr="00A453F2" w:rsidRDefault="00A453F2" w:rsidP="00A453F2">
      <w:pPr>
        <w:autoSpaceDE w:val="0"/>
        <w:autoSpaceDN w:val="0"/>
        <w:adjustRightInd w:val="0"/>
        <w:spacing w:after="0" w:line="240" w:lineRule="auto"/>
        <w:ind w:left="720"/>
        <w:rPr>
          <w:rFonts w:ascii="Times New Roman" w:hAnsi="Times New Roman" w:cs="Times New Roman"/>
          <w:sz w:val="24"/>
          <w:szCs w:val="24"/>
        </w:rPr>
      </w:pPr>
      <w:r w:rsidRPr="00A453F2">
        <w:rPr>
          <w:rFonts w:ascii="Times New Roman" w:hAnsi="Times New Roman" w:cs="Times New Roman"/>
          <w:i/>
          <w:sz w:val="24"/>
          <w:szCs w:val="24"/>
        </w:rPr>
        <w:t>As Libby Adler argues, a focus</w:t>
      </w:r>
      <w:r>
        <w:rPr>
          <w:rFonts w:ascii="Times New Roman" w:hAnsi="Times New Roman" w:cs="Times New Roman"/>
          <w:i/>
          <w:sz w:val="24"/>
          <w:szCs w:val="24"/>
        </w:rPr>
        <w:t xml:space="preserve"> on distributive justice shifts </w:t>
      </w:r>
      <w:r w:rsidRPr="00A453F2">
        <w:rPr>
          <w:rFonts w:ascii="Times New Roman" w:hAnsi="Times New Roman" w:cs="Times New Roman"/>
          <w:i/>
          <w:sz w:val="24"/>
          <w:szCs w:val="24"/>
        </w:rPr>
        <w:t xml:space="preserve">our </w:t>
      </w:r>
      <w:r w:rsidR="001C1FBF">
        <w:rPr>
          <w:rFonts w:ascii="Times New Roman" w:hAnsi="Times New Roman" w:cs="Times New Roman"/>
          <w:i/>
          <w:sz w:val="24"/>
          <w:szCs w:val="24"/>
        </w:rPr>
        <w:t>“</w:t>
      </w:r>
      <w:r w:rsidRPr="00A453F2">
        <w:rPr>
          <w:rFonts w:ascii="Times New Roman" w:hAnsi="Times New Roman" w:cs="Times New Roman"/>
          <w:i/>
          <w:sz w:val="24"/>
          <w:szCs w:val="24"/>
        </w:rPr>
        <w:t>gaze away from grand aspiration and princip</w:t>
      </w:r>
      <w:r>
        <w:rPr>
          <w:rFonts w:ascii="Times New Roman" w:hAnsi="Times New Roman" w:cs="Times New Roman"/>
          <w:i/>
          <w:sz w:val="24"/>
          <w:szCs w:val="24"/>
        </w:rPr>
        <w:t>led vindication and redirect[s]</w:t>
      </w:r>
      <w:r w:rsidR="001C1FBF">
        <w:rPr>
          <w:rFonts w:ascii="Times New Roman" w:hAnsi="Times New Roman" w:cs="Times New Roman"/>
          <w:i/>
          <w:sz w:val="24"/>
          <w:szCs w:val="24"/>
        </w:rPr>
        <w:t xml:space="preserve"> </w:t>
      </w:r>
      <w:r w:rsidRPr="00A453F2">
        <w:rPr>
          <w:rFonts w:ascii="Times New Roman" w:hAnsi="Times New Roman" w:cs="Times New Roman"/>
          <w:i/>
          <w:sz w:val="24"/>
          <w:szCs w:val="24"/>
        </w:rPr>
        <w:t>it downward, toward the gritty, low-profile rules, do</w:t>
      </w:r>
      <w:r>
        <w:rPr>
          <w:rFonts w:ascii="Times New Roman" w:hAnsi="Times New Roman" w:cs="Times New Roman"/>
          <w:i/>
          <w:sz w:val="24"/>
          <w:szCs w:val="24"/>
        </w:rPr>
        <w:t xml:space="preserve">ctrines, and practices that </w:t>
      </w:r>
      <w:r w:rsidRPr="00A453F2">
        <w:rPr>
          <w:rFonts w:ascii="Times New Roman" w:hAnsi="Times New Roman" w:cs="Times New Roman"/>
          <w:i/>
          <w:sz w:val="24"/>
          <w:szCs w:val="24"/>
        </w:rPr>
        <w:t>condition daily life on the margins.</w:t>
      </w:r>
      <w:r w:rsidR="001C1FBF">
        <w:rPr>
          <w:rFonts w:ascii="Times New Roman" w:hAnsi="Times New Roman" w:cs="Times New Roman"/>
          <w:i/>
          <w:sz w:val="24"/>
          <w:szCs w:val="24"/>
        </w:rPr>
        <w:t>”</w:t>
      </w:r>
      <w:r>
        <w:rPr>
          <w:rStyle w:val="FootnoteReference"/>
          <w:rFonts w:ascii="Times New Roman" w:hAnsi="Times New Roman" w:cs="Times New Roman"/>
          <w:i/>
          <w:sz w:val="24"/>
          <w:szCs w:val="24"/>
        </w:rPr>
        <w:footnoteReference w:id="34"/>
      </w:r>
    </w:p>
    <w:p w14:paraId="41C94C24" w14:textId="77777777" w:rsidR="00FB7247" w:rsidRDefault="00FB7247" w:rsidP="00BC272D">
      <w:pPr>
        <w:spacing w:after="0" w:line="360" w:lineRule="auto"/>
        <w:rPr>
          <w:rFonts w:ascii="Times New Roman" w:hAnsi="Times New Roman" w:cs="Times New Roman"/>
          <w:sz w:val="24"/>
          <w:szCs w:val="24"/>
        </w:rPr>
      </w:pPr>
    </w:p>
    <w:p w14:paraId="627ACB7B" w14:textId="0F24C9EA" w:rsidR="00500EB1" w:rsidRDefault="009B5059"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 the heart of any </w:t>
      </w:r>
      <w:r w:rsidR="00663CAB">
        <w:rPr>
          <w:rFonts w:ascii="Times New Roman" w:hAnsi="Times New Roman" w:cs="Times New Roman"/>
          <w:sz w:val="24"/>
          <w:szCs w:val="24"/>
        </w:rPr>
        <w:t xml:space="preserve">discipline or area of law </w:t>
      </w:r>
      <w:r>
        <w:rPr>
          <w:rFonts w:ascii="Times New Roman" w:hAnsi="Times New Roman" w:cs="Times New Roman"/>
          <w:sz w:val="24"/>
          <w:szCs w:val="24"/>
        </w:rPr>
        <w:t>are</w:t>
      </w:r>
      <w:r w:rsidR="001B3603">
        <w:rPr>
          <w:rFonts w:ascii="Times New Roman" w:hAnsi="Times New Roman" w:cs="Times New Roman"/>
          <w:sz w:val="24"/>
          <w:szCs w:val="24"/>
        </w:rPr>
        <w:t xml:space="preserve"> </w:t>
      </w:r>
      <w:r w:rsidR="00663CAB">
        <w:rPr>
          <w:rFonts w:ascii="Times New Roman" w:hAnsi="Times New Roman" w:cs="Times New Roman"/>
          <w:sz w:val="24"/>
          <w:szCs w:val="24"/>
        </w:rPr>
        <w:t xml:space="preserve">its most important aspects or practical details, </w:t>
      </w:r>
      <w:r w:rsidR="001B3603">
        <w:rPr>
          <w:rFonts w:ascii="Times New Roman" w:hAnsi="Times New Roman" w:cs="Times New Roman"/>
          <w:sz w:val="24"/>
          <w:szCs w:val="24"/>
        </w:rPr>
        <w:t xml:space="preserve">what is both essential and basic.  In this sense, the volume offers two such themes, cross-cutting offerings that permeate all of the articles with a contiguous thread. </w:t>
      </w:r>
      <w:r w:rsidR="00BD6388">
        <w:rPr>
          <w:rFonts w:ascii="Times New Roman" w:hAnsi="Times New Roman" w:cs="Times New Roman"/>
          <w:sz w:val="24"/>
          <w:szCs w:val="24"/>
        </w:rPr>
        <w:t>The first, is the defi</w:t>
      </w:r>
      <w:r w:rsidR="001B3603">
        <w:rPr>
          <w:rFonts w:ascii="Times New Roman" w:hAnsi="Times New Roman" w:cs="Times New Roman"/>
          <w:sz w:val="24"/>
          <w:szCs w:val="24"/>
        </w:rPr>
        <w:t>nitional strides this volume as a whole takes</w:t>
      </w:r>
      <w:r w:rsidR="00BD6388">
        <w:rPr>
          <w:rFonts w:ascii="Times New Roman" w:hAnsi="Times New Roman" w:cs="Times New Roman"/>
          <w:sz w:val="24"/>
          <w:szCs w:val="24"/>
        </w:rPr>
        <w:t xml:space="preserve"> to lay out the fluid boundaries of a trans legal studies movement.  It shows what the discipline of tra</w:t>
      </w:r>
      <w:r w:rsidR="003A6A67">
        <w:rPr>
          <w:rFonts w:ascii="Times New Roman" w:hAnsi="Times New Roman" w:cs="Times New Roman"/>
          <w:sz w:val="24"/>
          <w:szCs w:val="24"/>
        </w:rPr>
        <w:t>ns legal studies can and could be</w:t>
      </w:r>
      <w:r w:rsidR="00BD6388">
        <w:rPr>
          <w:rFonts w:ascii="Times New Roman" w:hAnsi="Times New Roman" w:cs="Times New Roman"/>
          <w:sz w:val="24"/>
          <w:szCs w:val="24"/>
        </w:rPr>
        <w:t>.  The second, is how, in that work to map</w:t>
      </w:r>
      <w:r w:rsidR="001B3603">
        <w:rPr>
          <w:rFonts w:ascii="Times New Roman" w:hAnsi="Times New Roman" w:cs="Times New Roman"/>
          <w:sz w:val="24"/>
          <w:szCs w:val="24"/>
        </w:rPr>
        <w:t xml:space="preserve"> the terrain of the field, each contribution shows</w:t>
      </w:r>
      <w:r w:rsidR="00BD6388">
        <w:rPr>
          <w:rFonts w:ascii="Times New Roman" w:hAnsi="Times New Roman" w:cs="Times New Roman"/>
          <w:sz w:val="24"/>
          <w:szCs w:val="24"/>
        </w:rPr>
        <w:t xml:space="preserve"> what differentiates trans legal studies from </w:t>
      </w:r>
      <w:r w:rsidR="001B3603">
        <w:rPr>
          <w:rFonts w:ascii="Times New Roman" w:hAnsi="Times New Roman" w:cs="Times New Roman"/>
          <w:sz w:val="24"/>
          <w:szCs w:val="24"/>
        </w:rPr>
        <w:t>its most frequent comparator</w:t>
      </w:r>
      <w:r w:rsidR="003A6A67">
        <w:rPr>
          <w:rFonts w:ascii="Times New Roman" w:hAnsi="Times New Roman" w:cs="Times New Roman"/>
          <w:sz w:val="24"/>
          <w:szCs w:val="24"/>
        </w:rPr>
        <w:t xml:space="preserve"> and ally</w:t>
      </w:r>
      <w:r w:rsidR="001C1FBF">
        <w:rPr>
          <w:rFonts w:ascii="Times New Roman" w:hAnsi="Times New Roman" w:cs="Times New Roman"/>
          <w:sz w:val="24"/>
          <w:szCs w:val="24"/>
        </w:rPr>
        <w:t>,</w:t>
      </w:r>
      <w:r w:rsidR="001B3603">
        <w:rPr>
          <w:rFonts w:ascii="Times New Roman" w:hAnsi="Times New Roman" w:cs="Times New Roman"/>
          <w:sz w:val="24"/>
          <w:szCs w:val="24"/>
        </w:rPr>
        <w:t xml:space="preserve"> </w:t>
      </w:r>
      <w:r w:rsidR="00BD6388">
        <w:rPr>
          <w:rFonts w:ascii="Times New Roman" w:hAnsi="Times New Roman" w:cs="Times New Roman"/>
          <w:sz w:val="24"/>
          <w:szCs w:val="24"/>
        </w:rPr>
        <w:t>queer legal studies</w:t>
      </w:r>
      <w:r w:rsidR="001C1FBF">
        <w:rPr>
          <w:rFonts w:ascii="Times New Roman" w:hAnsi="Times New Roman" w:cs="Times New Roman"/>
          <w:sz w:val="24"/>
          <w:szCs w:val="24"/>
        </w:rPr>
        <w:t>,</w:t>
      </w:r>
      <w:r w:rsidR="008437DF">
        <w:rPr>
          <w:rFonts w:ascii="Times New Roman" w:hAnsi="Times New Roman" w:cs="Times New Roman"/>
          <w:sz w:val="24"/>
          <w:szCs w:val="24"/>
        </w:rPr>
        <w:t xml:space="preserve"> and from a sole focus on human rights law</w:t>
      </w:r>
      <w:r w:rsidR="00BD6388">
        <w:rPr>
          <w:rFonts w:ascii="Times New Roman" w:hAnsi="Times New Roman" w:cs="Times New Roman"/>
          <w:sz w:val="24"/>
          <w:szCs w:val="24"/>
        </w:rPr>
        <w:t>.  There are many areas of similarity</w:t>
      </w:r>
      <w:r w:rsidR="008437DF">
        <w:rPr>
          <w:rFonts w:ascii="Times New Roman" w:hAnsi="Times New Roman" w:cs="Times New Roman"/>
          <w:sz w:val="24"/>
          <w:szCs w:val="24"/>
        </w:rPr>
        <w:t xml:space="preserve"> </w:t>
      </w:r>
      <w:r w:rsidR="00BD6388">
        <w:rPr>
          <w:rFonts w:ascii="Times New Roman" w:hAnsi="Times New Roman" w:cs="Times New Roman"/>
          <w:sz w:val="24"/>
          <w:szCs w:val="24"/>
        </w:rPr>
        <w:t>in the work</w:t>
      </w:r>
      <w:r w:rsidR="008437DF">
        <w:rPr>
          <w:rFonts w:ascii="Times New Roman" w:hAnsi="Times New Roman" w:cs="Times New Roman"/>
          <w:sz w:val="24"/>
          <w:szCs w:val="24"/>
        </w:rPr>
        <w:t>, and the lives, of trans and queer scholar</w:t>
      </w:r>
      <w:r w:rsidR="00BD6388">
        <w:rPr>
          <w:rFonts w:ascii="Times New Roman" w:hAnsi="Times New Roman" w:cs="Times New Roman"/>
          <w:sz w:val="24"/>
          <w:szCs w:val="24"/>
        </w:rPr>
        <w:t xml:space="preserve">, many places for allies, and many intersecting peoples and questions.  </w:t>
      </w:r>
      <w:r w:rsidR="00BD6388">
        <w:rPr>
          <w:rFonts w:ascii="Times New Roman" w:hAnsi="Times New Roman" w:cs="Times New Roman"/>
          <w:sz w:val="24"/>
          <w:szCs w:val="24"/>
        </w:rPr>
        <w:lastRenderedPageBreak/>
        <w:t xml:space="preserve">But quite profoundly, this volume demonstrates the insights to be drawn from trans legal studies for people living at the margins.  And in doing the work, </w:t>
      </w:r>
      <w:r w:rsidR="003A6A67">
        <w:rPr>
          <w:rFonts w:ascii="Times New Roman" w:hAnsi="Times New Roman" w:cs="Times New Roman"/>
          <w:sz w:val="24"/>
          <w:szCs w:val="24"/>
        </w:rPr>
        <w:t xml:space="preserve">it also shows </w:t>
      </w:r>
      <w:r w:rsidR="00BD6388">
        <w:rPr>
          <w:rFonts w:ascii="Times New Roman" w:hAnsi="Times New Roman" w:cs="Times New Roman"/>
          <w:sz w:val="24"/>
          <w:szCs w:val="24"/>
        </w:rPr>
        <w:t>the significance</w:t>
      </w:r>
      <w:r w:rsidR="003A6A67">
        <w:rPr>
          <w:rFonts w:ascii="Times New Roman" w:hAnsi="Times New Roman" w:cs="Times New Roman"/>
          <w:sz w:val="24"/>
          <w:szCs w:val="24"/>
        </w:rPr>
        <w:t xml:space="preserve"> and granularity</w:t>
      </w:r>
      <w:r w:rsidR="00BD6388">
        <w:rPr>
          <w:rFonts w:ascii="Times New Roman" w:hAnsi="Times New Roman" w:cs="Times New Roman"/>
          <w:sz w:val="24"/>
          <w:szCs w:val="24"/>
        </w:rPr>
        <w:t xml:space="preserve"> of lived experience as essential methodology.</w:t>
      </w:r>
      <w:r w:rsidR="00BD6388">
        <w:rPr>
          <w:rStyle w:val="FootnoteReference"/>
          <w:rFonts w:ascii="Times New Roman" w:hAnsi="Times New Roman" w:cs="Times New Roman"/>
          <w:sz w:val="24"/>
          <w:szCs w:val="24"/>
        </w:rPr>
        <w:footnoteReference w:id="35"/>
      </w:r>
    </w:p>
    <w:p w14:paraId="1BDD15B0" w14:textId="77777777" w:rsidR="00BD6388" w:rsidRDefault="00BD6388" w:rsidP="00BC272D">
      <w:pPr>
        <w:spacing w:after="0" w:line="360" w:lineRule="auto"/>
        <w:rPr>
          <w:rFonts w:ascii="Times New Roman" w:hAnsi="Times New Roman" w:cs="Times New Roman"/>
          <w:sz w:val="24"/>
          <w:szCs w:val="24"/>
        </w:rPr>
      </w:pPr>
    </w:p>
    <w:p w14:paraId="0B95B8EA" w14:textId="3E56CFD9" w:rsidR="001603FB" w:rsidRDefault="00BD6388" w:rsidP="00DC77D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the transcript of the keynote to the May 2019 conference, Viviane Namaste and Dalia </w:t>
      </w:r>
      <w:proofErr w:type="spellStart"/>
      <w:r>
        <w:rPr>
          <w:rFonts w:ascii="Times New Roman" w:hAnsi="Times New Roman" w:cs="Times New Roman"/>
          <w:sz w:val="24"/>
          <w:szCs w:val="24"/>
        </w:rPr>
        <w:t>Tourki</w:t>
      </w:r>
      <w:proofErr w:type="spellEnd"/>
      <w:r>
        <w:rPr>
          <w:rFonts w:ascii="Times New Roman" w:hAnsi="Times New Roman" w:cs="Times New Roman"/>
          <w:sz w:val="24"/>
          <w:szCs w:val="24"/>
        </w:rPr>
        <w:t xml:space="preserve"> </w:t>
      </w:r>
      <w:r w:rsidR="001B3603">
        <w:rPr>
          <w:rFonts w:ascii="Times New Roman" w:hAnsi="Times New Roman" w:cs="Times New Roman"/>
          <w:sz w:val="24"/>
          <w:szCs w:val="24"/>
        </w:rPr>
        <w:t>are in conversation about the current challenges faced by trans legal scholar</w:t>
      </w:r>
      <w:r w:rsidR="00941D06">
        <w:rPr>
          <w:rFonts w:ascii="Times New Roman" w:hAnsi="Times New Roman" w:cs="Times New Roman"/>
          <w:sz w:val="24"/>
          <w:szCs w:val="24"/>
        </w:rPr>
        <w:t>s</w:t>
      </w:r>
      <w:r w:rsidR="001B3603">
        <w:rPr>
          <w:rFonts w:ascii="Times New Roman" w:hAnsi="Times New Roman" w:cs="Times New Roman"/>
          <w:sz w:val="24"/>
          <w:szCs w:val="24"/>
        </w:rPr>
        <w:t>, activ</w:t>
      </w:r>
      <w:r w:rsidR="001C1FBF">
        <w:rPr>
          <w:rFonts w:ascii="Times New Roman" w:hAnsi="Times New Roman" w:cs="Times New Roman"/>
          <w:sz w:val="24"/>
          <w:szCs w:val="24"/>
        </w:rPr>
        <w:t xml:space="preserve">ists and people, </w:t>
      </w:r>
      <w:r w:rsidR="001B3603">
        <w:rPr>
          <w:rFonts w:ascii="Times New Roman" w:hAnsi="Times New Roman" w:cs="Times New Roman"/>
          <w:sz w:val="24"/>
          <w:szCs w:val="24"/>
        </w:rPr>
        <w:t>setting it against the history of the movement for trans legal recognition.  They look to the civil rights movement, more that the gay liberation movement for parallels,</w:t>
      </w:r>
      <w:r w:rsidR="001B3603">
        <w:rPr>
          <w:rStyle w:val="FootnoteReference"/>
          <w:rFonts w:ascii="Times New Roman" w:hAnsi="Times New Roman" w:cs="Times New Roman"/>
          <w:sz w:val="24"/>
          <w:szCs w:val="24"/>
        </w:rPr>
        <w:footnoteReference w:id="36"/>
      </w:r>
      <w:r w:rsidR="001B3603">
        <w:rPr>
          <w:rFonts w:ascii="Times New Roman" w:hAnsi="Times New Roman" w:cs="Times New Roman"/>
          <w:sz w:val="24"/>
          <w:szCs w:val="24"/>
        </w:rPr>
        <w:t xml:space="preserve"> and offer that at the heart of the “gay movement” was</w:t>
      </w:r>
      <w:r w:rsidR="00AF7185">
        <w:rPr>
          <w:rFonts w:ascii="Times New Roman" w:hAnsi="Times New Roman" w:cs="Times New Roman"/>
          <w:sz w:val="24"/>
          <w:szCs w:val="24"/>
        </w:rPr>
        <w:t xml:space="preserve"> a “f</w:t>
      </w:r>
      <w:r w:rsidR="00CF6EFB">
        <w:rPr>
          <w:rFonts w:ascii="Times New Roman" w:hAnsi="Times New Roman" w:cs="Times New Roman"/>
          <w:sz w:val="24"/>
          <w:szCs w:val="24"/>
        </w:rPr>
        <w:t>ight to love freely.”</w:t>
      </w:r>
      <w:r w:rsidR="00CF6EFB">
        <w:rPr>
          <w:rStyle w:val="FootnoteReference"/>
          <w:rFonts w:ascii="Times New Roman" w:hAnsi="Times New Roman" w:cs="Times New Roman"/>
          <w:sz w:val="24"/>
          <w:szCs w:val="24"/>
        </w:rPr>
        <w:footnoteReference w:id="37"/>
      </w:r>
      <w:r w:rsidR="00CF6EFB">
        <w:rPr>
          <w:rFonts w:ascii="Times New Roman" w:hAnsi="Times New Roman" w:cs="Times New Roman"/>
          <w:sz w:val="24"/>
          <w:szCs w:val="24"/>
        </w:rPr>
        <w:t xml:space="preserve"> In their view and experience, the heart of the tr</w:t>
      </w:r>
      <w:r w:rsidR="00AF7185">
        <w:rPr>
          <w:rFonts w:ascii="Times New Roman" w:hAnsi="Times New Roman" w:cs="Times New Roman"/>
          <w:sz w:val="24"/>
          <w:szCs w:val="24"/>
        </w:rPr>
        <w:t>ans movement has been the “r</w:t>
      </w:r>
      <w:r w:rsidR="00CF6EFB">
        <w:rPr>
          <w:rFonts w:ascii="Times New Roman" w:hAnsi="Times New Roman" w:cs="Times New Roman"/>
          <w:sz w:val="24"/>
          <w:szCs w:val="24"/>
        </w:rPr>
        <w:t>ight to be loved.”</w:t>
      </w:r>
      <w:r w:rsidR="00CF6EFB">
        <w:rPr>
          <w:rStyle w:val="FootnoteReference"/>
          <w:rFonts w:ascii="Times New Roman" w:hAnsi="Times New Roman" w:cs="Times New Roman"/>
          <w:sz w:val="24"/>
          <w:szCs w:val="24"/>
        </w:rPr>
        <w:footnoteReference w:id="38"/>
      </w:r>
      <w:r w:rsidR="001603FB">
        <w:rPr>
          <w:rFonts w:ascii="Times New Roman" w:hAnsi="Times New Roman" w:cs="Times New Roman"/>
          <w:sz w:val="24"/>
          <w:szCs w:val="24"/>
        </w:rPr>
        <w:t xml:space="preserve">  And while the movements share roots in questions of liberation, where there is divergence is in the move for state recognition, from about the 1990s on.  In their view, equality before the law is absolutely essential, but the question of who remains left out, or </w:t>
      </w:r>
      <w:proofErr w:type="spellStart"/>
      <w:r w:rsidR="001603FB">
        <w:rPr>
          <w:rFonts w:ascii="Times New Roman" w:hAnsi="Times New Roman" w:cs="Times New Roman"/>
          <w:sz w:val="24"/>
          <w:szCs w:val="24"/>
        </w:rPr>
        <w:t>othered</w:t>
      </w:r>
      <w:proofErr w:type="spellEnd"/>
      <w:r w:rsidR="001603FB">
        <w:rPr>
          <w:rFonts w:ascii="Times New Roman" w:hAnsi="Times New Roman" w:cs="Times New Roman"/>
          <w:sz w:val="24"/>
          <w:szCs w:val="24"/>
        </w:rPr>
        <w:t xml:space="preserve">, </w:t>
      </w:r>
      <w:r w:rsidR="001C1FBF">
        <w:rPr>
          <w:rFonts w:ascii="Times New Roman" w:hAnsi="Times New Roman" w:cs="Times New Roman"/>
          <w:sz w:val="24"/>
          <w:szCs w:val="24"/>
        </w:rPr>
        <w:t>is</w:t>
      </w:r>
      <w:r w:rsidR="001603FB">
        <w:rPr>
          <w:rFonts w:ascii="Times New Roman" w:hAnsi="Times New Roman" w:cs="Times New Roman"/>
          <w:sz w:val="24"/>
          <w:szCs w:val="24"/>
        </w:rPr>
        <w:t xml:space="preserve"> the more cr</w:t>
      </w:r>
      <w:r w:rsidR="001C1FBF">
        <w:rPr>
          <w:rFonts w:ascii="Times New Roman" w:hAnsi="Times New Roman" w:cs="Times New Roman"/>
          <w:sz w:val="24"/>
          <w:szCs w:val="24"/>
        </w:rPr>
        <w:t>itical and fundamental question</w:t>
      </w:r>
      <w:r w:rsidR="001603FB">
        <w:rPr>
          <w:rFonts w:ascii="Times New Roman" w:hAnsi="Times New Roman" w:cs="Times New Roman"/>
          <w:sz w:val="24"/>
          <w:szCs w:val="24"/>
        </w:rPr>
        <w:t>.</w:t>
      </w:r>
      <w:r w:rsidR="001603FB">
        <w:rPr>
          <w:rStyle w:val="FootnoteReference"/>
          <w:rFonts w:ascii="Times New Roman" w:hAnsi="Times New Roman" w:cs="Times New Roman"/>
          <w:sz w:val="24"/>
          <w:szCs w:val="24"/>
        </w:rPr>
        <w:footnoteReference w:id="39"/>
      </w:r>
    </w:p>
    <w:p w14:paraId="09E3906C" w14:textId="77777777" w:rsidR="001603FB" w:rsidRDefault="001603FB" w:rsidP="00DC77D7">
      <w:pPr>
        <w:autoSpaceDE w:val="0"/>
        <w:autoSpaceDN w:val="0"/>
        <w:adjustRightInd w:val="0"/>
        <w:spacing w:after="0" w:line="360" w:lineRule="auto"/>
        <w:rPr>
          <w:rFonts w:ascii="Times New Roman" w:hAnsi="Times New Roman" w:cs="Times New Roman"/>
          <w:sz w:val="24"/>
          <w:szCs w:val="24"/>
        </w:rPr>
      </w:pPr>
    </w:p>
    <w:p w14:paraId="7A284789" w14:textId="112E727F" w:rsidR="001603FB" w:rsidRDefault="001603FB" w:rsidP="00DC77D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This notion – that the trans legal movement</w:t>
      </w:r>
      <w:r w:rsidR="00A453F2">
        <w:rPr>
          <w:rFonts w:ascii="Times New Roman" w:hAnsi="Times New Roman" w:cs="Times New Roman"/>
          <w:sz w:val="24"/>
          <w:szCs w:val="24"/>
        </w:rPr>
        <w:t xml:space="preserve"> is</w:t>
      </w:r>
      <w:r w:rsidR="008437DF">
        <w:rPr>
          <w:rFonts w:ascii="Times New Roman" w:hAnsi="Times New Roman" w:cs="Times New Roman"/>
          <w:sz w:val="24"/>
          <w:szCs w:val="24"/>
        </w:rPr>
        <w:t xml:space="preserve"> at its heart a movement demanding attention to</w:t>
      </w:r>
      <w:r w:rsidR="00A453F2">
        <w:rPr>
          <w:rFonts w:ascii="Times New Roman" w:hAnsi="Times New Roman" w:cs="Times New Roman"/>
          <w:sz w:val="24"/>
          <w:szCs w:val="24"/>
        </w:rPr>
        <w:t xml:space="preserve"> th</w:t>
      </w:r>
      <w:r w:rsidR="003A6A67">
        <w:rPr>
          <w:rFonts w:ascii="Times New Roman" w:hAnsi="Times New Roman" w:cs="Times New Roman"/>
          <w:sz w:val="24"/>
          <w:szCs w:val="24"/>
        </w:rPr>
        <w:t xml:space="preserve">e margins -- </w:t>
      </w:r>
      <w:r w:rsidR="00A453F2">
        <w:rPr>
          <w:rFonts w:ascii="Times New Roman" w:hAnsi="Times New Roman" w:cs="Times New Roman"/>
          <w:sz w:val="24"/>
          <w:szCs w:val="24"/>
        </w:rPr>
        <w:t xml:space="preserve">connects all the contributions in this volume.  As Samuel Singer argues, </w:t>
      </w:r>
      <w:r w:rsidR="00DC77D7">
        <w:rPr>
          <w:rFonts w:ascii="Times New Roman" w:hAnsi="Times New Roman" w:cs="Times New Roman"/>
          <w:sz w:val="24"/>
          <w:szCs w:val="24"/>
        </w:rPr>
        <w:t>human rights law is important, but not sufficient for trans justice, broadly cast;</w:t>
      </w:r>
      <w:r w:rsidR="00DC77D7">
        <w:rPr>
          <w:rStyle w:val="FootnoteReference"/>
          <w:rFonts w:ascii="Times New Roman" w:hAnsi="Times New Roman" w:cs="Times New Roman"/>
          <w:sz w:val="24"/>
          <w:szCs w:val="24"/>
        </w:rPr>
        <w:footnoteReference w:id="40"/>
      </w:r>
      <w:r w:rsidR="00DC77D7">
        <w:rPr>
          <w:rFonts w:ascii="Times New Roman" w:hAnsi="Times New Roman" w:cs="Times New Roman"/>
          <w:sz w:val="24"/>
          <w:szCs w:val="24"/>
        </w:rPr>
        <w:t xml:space="preserve"> </w:t>
      </w:r>
      <w:r w:rsidR="008437DF">
        <w:rPr>
          <w:rFonts w:ascii="Times New Roman" w:hAnsi="Times New Roman" w:cs="Times New Roman"/>
          <w:sz w:val="24"/>
          <w:szCs w:val="24"/>
        </w:rPr>
        <w:t xml:space="preserve">and </w:t>
      </w:r>
      <w:r w:rsidR="00DC77D7">
        <w:rPr>
          <w:rFonts w:ascii="Times New Roman" w:hAnsi="Times New Roman" w:cs="Times New Roman"/>
          <w:sz w:val="24"/>
          <w:szCs w:val="24"/>
        </w:rPr>
        <w:t>there is an “agility and creativity” needed to do legal advocacy on the margins.</w:t>
      </w:r>
      <w:r w:rsidR="00DC77D7">
        <w:rPr>
          <w:rStyle w:val="FootnoteReference"/>
          <w:rFonts w:ascii="Times New Roman" w:hAnsi="Times New Roman" w:cs="Times New Roman"/>
          <w:sz w:val="24"/>
          <w:szCs w:val="24"/>
        </w:rPr>
        <w:footnoteReference w:id="41"/>
      </w:r>
      <w:r w:rsidR="00DC77D7">
        <w:rPr>
          <w:rFonts w:ascii="Times New Roman" w:hAnsi="Times New Roman" w:cs="Times New Roman"/>
          <w:sz w:val="24"/>
          <w:szCs w:val="24"/>
        </w:rPr>
        <w:t xml:space="preserve"> This is similarly the starting place for Dan Irving</w:t>
      </w:r>
      <w:r w:rsidR="003A6A67">
        <w:rPr>
          <w:rFonts w:ascii="Times New Roman" w:hAnsi="Times New Roman" w:cs="Times New Roman"/>
          <w:sz w:val="24"/>
          <w:szCs w:val="24"/>
        </w:rPr>
        <w:t xml:space="preserve"> and Nathan </w:t>
      </w:r>
      <w:proofErr w:type="spellStart"/>
      <w:r w:rsidR="003A6A67">
        <w:rPr>
          <w:rFonts w:ascii="Times New Roman" w:hAnsi="Times New Roman" w:cs="Times New Roman"/>
          <w:sz w:val="24"/>
          <w:szCs w:val="24"/>
        </w:rPr>
        <w:t>Hoo</w:t>
      </w:r>
      <w:proofErr w:type="spellEnd"/>
      <w:r w:rsidR="003A6A67">
        <w:rPr>
          <w:rFonts w:ascii="Times New Roman" w:hAnsi="Times New Roman" w:cs="Times New Roman"/>
          <w:sz w:val="24"/>
          <w:szCs w:val="24"/>
        </w:rPr>
        <w:t xml:space="preserve"> in their examination of</w:t>
      </w:r>
      <w:r w:rsidR="00DC77D7">
        <w:rPr>
          <w:rFonts w:ascii="Times New Roman" w:hAnsi="Times New Roman" w:cs="Times New Roman"/>
          <w:sz w:val="24"/>
          <w:szCs w:val="24"/>
        </w:rPr>
        <w:t xml:space="preserve"> the un- and underemployment of trans peoples, and the limits of human rights laws to address unspoken and unconscious discrimination.  They argue that while formal legal recognition remains important, </w:t>
      </w:r>
      <w:r w:rsidR="00DC77D7" w:rsidRPr="00DC77D7">
        <w:rPr>
          <w:rFonts w:ascii="Times New Roman" w:hAnsi="Times New Roman" w:cs="Times New Roman"/>
          <w:sz w:val="24"/>
          <w:szCs w:val="24"/>
        </w:rPr>
        <w:t>“</w:t>
      </w:r>
      <w:r w:rsidR="00DC77D7">
        <w:rPr>
          <w:rFonts w:ascii="Times New Roman" w:hAnsi="Times New Roman" w:cs="Times New Roman"/>
          <w:sz w:val="24"/>
          <w:szCs w:val="24"/>
        </w:rPr>
        <w:t xml:space="preserve">how can scholars, </w:t>
      </w:r>
      <w:r w:rsidR="00DC77D7" w:rsidRPr="00DC77D7">
        <w:rPr>
          <w:rFonts w:ascii="Times New Roman" w:hAnsi="Times New Roman" w:cs="Times New Roman"/>
          <w:sz w:val="24"/>
          <w:szCs w:val="24"/>
        </w:rPr>
        <w:t>trans legal advocates, and employment policy advoca</w:t>
      </w:r>
      <w:r w:rsidR="00DC77D7">
        <w:rPr>
          <w:rFonts w:ascii="Times New Roman" w:hAnsi="Times New Roman" w:cs="Times New Roman"/>
          <w:sz w:val="24"/>
          <w:szCs w:val="24"/>
        </w:rPr>
        <w:t xml:space="preserve">tes account for the disparities </w:t>
      </w:r>
      <w:r w:rsidR="00DC77D7" w:rsidRPr="00DC77D7">
        <w:rPr>
          <w:rFonts w:ascii="Times New Roman" w:hAnsi="Times New Roman" w:cs="Times New Roman"/>
          <w:sz w:val="24"/>
          <w:szCs w:val="24"/>
        </w:rPr>
        <w:t>between anti-discrimination and employment l</w:t>
      </w:r>
      <w:r w:rsidR="00DC77D7">
        <w:rPr>
          <w:rFonts w:ascii="Times New Roman" w:hAnsi="Times New Roman" w:cs="Times New Roman"/>
          <w:sz w:val="24"/>
          <w:szCs w:val="24"/>
        </w:rPr>
        <w:t xml:space="preserve">aws recognizing gender identity </w:t>
      </w:r>
      <w:r w:rsidR="00DC77D7" w:rsidRPr="00DC77D7">
        <w:rPr>
          <w:rFonts w:ascii="Times New Roman" w:hAnsi="Times New Roman" w:cs="Times New Roman"/>
          <w:sz w:val="24"/>
          <w:szCs w:val="24"/>
        </w:rPr>
        <w:t>and gender expression as protected grounds and trans people’</w:t>
      </w:r>
      <w:r w:rsidR="00DC77D7">
        <w:rPr>
          <w:rFonts w:ascii="Times New Roman" w:hAnsi="Times New Roman" w:cs="Times New Roman"/>
          <w:sz w:val="24"/>
          <w:szCs w:val="24"/>
        </w:rPr>
        <w:t xml:space="preserve">s lived experiences of </w:t>
      </w:r>
      <w:r w:rsidR="00DC77D7" w:rsidRPr="00DC77D7">
        <w:rPr>
          <w:rFonts w:ascii="Times New Roman" w:hAnsi="Times New Roman" w:cs="Times New Roman"/>
          <w:sz w:val="24"/>
          <w:szCs w:val="24"/>
        </w:rPr>
        <w:t xml:space="preserve">being marginalized </w:t>
      </w:r>
      <w:r w:rsidR="00DC77D7" w:rsidRPr="00DC77D7">
        <w:rPr>
          <w:rFonts w:ascii="Times New Roman" w:hAnsi="Times New Roman" w:cs="Times New Roman"/>
          <w:sz w:val="24"/>
          <w:szCs w:val="24"/>
        </w:rPr>
        <w:lastRenderedPageBreak/>
        <w:t>within, or barred from the workplace?</w:t>
      </w:r>
      <w:r w:rsidR="00DC77D7">
        <w:rPr>
          <w:rFonts w:ascii="Times New Roman" w:hAnsi="Times New Roman" w:cs="Times New Roman"/>
          <w:sz w:val="24"/>
          <w:szCs w:val="24"/>
        </w:rPr>
        <w:t>”</w:t>
      </w:r>
      <w:r w:rsidR="00DC77D7">
        <w:rPr>
          <w:rStyle w:val="FootnoteReference"/>
          <w:rFonts w:ascii="Times New Roman" w:hAnsi="Times New Roman" w:cs="Times New Roman"/>
          <w:sz w:val="24"/>
          <w:szCs w:val="24"/>
        </w:rPr>
        <w:footnoteReference w:id="42"/>
      </w:r>
      <w:r w:rsidR="00DC77D7">
        <w:rPr>
          <w:rFonts w:ascii="Times New Roman" w:hAnsi="Times New Roman" w:cs="Times New Roman"/>
          <w:sz w:val="24"/>
          <w:szCs w:val="24"/>
        </w:rPr>
        <w:t xml:space="preserve"> And, they continue, this is particularly so for trans women and BIPOC.</w:t>
      </w:r>
    </w:p>
    <w:p w14:paraId="764D5DD5" w14:textId="77777777" w:rsidR="00DC77D7" w:rsidRDefault="00DC77D7" w:rsidP="00DC77D7">
      <w:pPr>
        <w:autoSpaceDE w:val="0"/>
        <w:autoSpaceDN w:val="0"/>
        <w:adjustRightInd w:val="0"/>
        <w:spacing w:after="0" w:line="360" w:lineRule="auto"/>
        <w:rPr>
          <w:rFonts w:ascii="Times New Roman" w:hAnsi="Times New Roman" w:cs="Times New Roman"/>
          <w:sz w:val="24"/>
          <w:szCs w:val="24"/>
        </w:rPr>
      </w:pPr>
    </w:p>
    <w:p w14:paraId="1115B961" w14:textId="11591B01" w:rsidR="00DC77D7" w:rsidRDefault="00DC77D7" w:rsidP="00DC77D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These</w:t>
      </w:r>
      <w:r w:rsidR="00311A5E">
        <w:rPr>
          <w:rFonts w:ascii="Times New Roman" w:hAnsi="Times New Roman" w:cs="Times New Roman"/>
          <w:sz w:val="24"/>
          <w:szCs w:val="24"/>
        </w:rPr>
        <w:t xml:space="preserve"> two</w:t>
      </w:r>
      <w:r>
        <w:rPr>
          <w:rFonts w:ascii="Times New Roman" w:hAnsi="Times New Roman" w:cs="Times New Roman"/>
          <w:sz w:val="24"/>
          <w:szCs w:val="24"/>
        </w:rPr>
        <w:t xml:space="preserve"> intersecting </w:t>
      </w:r>
      <w:r w:rsidR="00311A5E">
        <w:rPr>
          <w:rFonts w:ascii="Times New Roman" w:hAnsi="Times New Roman" w:cs="Times New Roman"/>
          <w:sz w:val="24"/>
          <w:szCs w:val="24"/>
        </w:rPr>
        <w:t xml:space="preserve">and foundational </w:t>
      </w:r>
      <w:r>
        <w:rPr>
          <w:rFonts w:ascii="Times New Roman" w:hAnsi="Times New Roman" w:cs="Times New Roman"/>
          <w:sz w:val="24"/>
          <w:szCs w:val="24"/>
        </w:rPr>
        <w:t xml:space="preserve">themes, that of the limits of human rights law and the significance of lives lived at the margins to </w:t>
      </w:r>
      <w:r w:rsidR="00562E02">
        <w:rPr>
          <w:rFonts w:ascii="Times New Roman" w:hAnsi="Times New Roman" w:cs="Times New Roman"/>
          <w:sz w:val="24"/>
          <w:szCs w:val="24"/>
        </w:rPr>
        <w:t xml:space="preserve">trans legal studies as a discipline, are woven through all of the articles.  Kyle </w:t>
      </w:r>
      <w:proofErr w:type="spellStart"/>
      <w:r w:rsidR="00562E02">
        <w:rPr>
          <w:rFonts w:ascii="Times New Roman" w:hAnsi="Times New Roman" w:cs="Times New Roman"/>
          <w:sz w:val="24"/>
          <w:szCs w:val="24"/>
        </w:rPr>
        <w:t>Kirkup</w:t>
      </w:r>
      <w:proofErr w:type="spellEnd"/>
      <w:r w:rsidR="00562E02">
        <w:rPr>
          <w:rFonts w:ascii="Times New Roman" w:hAnsi="Times New Roman" w:cs="Times New Roman"/>
          <w:sz w:val="24"/>
          <w:szCs w:val="24"/>
        </w:rPr>
        <w:t xml:space="preserve">, Lee </w:t>
      </w:r>
      <w:proofErr w:type="spellStart"/>
      <w:r w:rsidR="00562E02">
        <w:rPr>
          <w:rFonts w:ascii="Times New Roman" w:hAnsi="Times New Roman" w:cs="Times New Roman"/>
          <w:sz w:val="24"/>
          <w:szCs w:val="24"/>
        </w:rPr>
        <w:t>Airton</w:t>
      </w:r>
      <w:proofErr w:type="spellEnd"/>
      <w:r w:rsidR="00562E02">
        <w:rPr>
          <w:rFonts w:ascii="Times New Roman" w:hAnsi="Times New Roman" w:cs="Times New Roman"/>
          <w:sz w:val="24"/>
          <w:szCs w:val="24"/>
        </w:rPr>
        <w:t xml:space="preserve">, Allison McMillan and Jacob </w:t>
      </w:r>
      <w:proofErr w:type="spellStart"/>
      <w:r w:rsidR="00562E02">
        <w:rPr>
          <w:rFonts w:ascii="Times New Roman" w:hAnsi="Times New Roman" w:cs="Times New Roman"/>
          <w:sz w:val="24"/>
          <w:szCs w:val="24"/>
        </w:rPr>
        <w:t>DesRochers</w:t>
      </w:r>
      <w:proofErr w:type="spellEnd"/>
      <w:r w:rsidR="00D40443">
        <w:rPr>
          <w:rFonts w:ascii="Times New Roman" w:hAnsi="Times New Roman" w:cs="Times New Roman"/>
          <w:sz w:val="24"/>
          <w:szCs w:val="24"/>
        </w:rPr>
        <w:t xml:space="preserve">, for example, </w:t>
      </w:r>
      <w:r w:rsidR="00562E02">
        <w:rPr>
          <w:rFonts w:ascii="Times New Roman" w:hAnsi="Times New Roman" w:cs="Times New Roman"/>
          <w:sz w:val="24"/>
          <w:szCs w:val="24"/>
        </w:rPr>
        <w:t>examine how meaning-making – particularly with respect to the generally undefined legal terms of “gender expression” and “gender identity” –</w:t>
      </w:r>
      <w:r w:rsidR="008437DF">
        <w:rPr>
          <w:rFonts w:ascii="Times New Roman" w:hAnsi="Times New Roman" w:cs="Times New Roman"/>
          <w:sz w:val="24"/>
          <w:szCs w:val="24"/>
        </w:rPr>
        <w:t xml:space="preserve"> happens outside of</w:t>
      </w:r>
      <w:r w:rsidR="00562E02">
        <w:rPr>
          <w:rFonts w:ascii="Times New Roman" w:hAnsi="Times New Roman" w:cs="Times New Roman"/>
          <w:sz w:val="24"/>
          <w:szCs w:val="24"/>
        </w:rPr>
        <w:t xml:space="preserve"> for</w:t>
      </w:r>
      <w:r w:rsidR="00311A5E">
        <w:rPr>
          <w:rFonts w:ascii="Times New Roman" w:hAnsi="Times New Roman" w:cs="Times New Roman"/>
          <w:sz w:val="24"/>
          <w:szCs w:val="24"/>
        </w:rPr>
        <w:t>mal court and tribunal settings. I</w:t>
      </w:r>
      <w:r w:rsidR="00D40443">
        <w:rPr>
          <w:rFonts w:ascii="Times New Roman" w:hAnsi="Times New Roman" w:cs="Times New Roman"/>
          <w:sz w:val="24"/>
          <w:szCs w:val="24"/>
        </w:rPr>
        <w:t xml:space="preserve">n the context of their work, </w:t>
      </w:r>
      <w:r w:rsidR="00311A5E">
        <w:rPr>
          <w:rFonts w:ascii="Times New Roman" w:hAnsi="Times New Roman" w:cs="Times New Roman"/>
          <w:sz w:val="24"/>
          <w:szCs w:val="24"/>
        </w:rPr>
        <w:t xml:space="preserve">such meanings are produced </w:t>
      </w:r>
      <w:r w:rsidR="00D40443">
        <w:rPr>
          <w:rFonts w:ascii="Times New Roman" w:hAnsi="Times New Roman" w:cs="Times New Roman"/>
          <w:sz w:val="24"/>
          <w:szCs w:val="24"/>
        </w:rPr>
        <w:t>within school board policies in Ontario.  While continuing to ask questions about the margins and the marginalized, they assert that human rights law also has</w:t>
      </w:r>
      <w:r w:rsidR="00941D06">
        <w:rPr>
          <w:rFonts w:ascii="Times New Roman" w:hAnsi="Times New Roman" w:cs="Times New Roman"/>
          <w:sz w:val="24"/>
          <w:szCs w:val="24"/>
        </w:rPr>
        <w:t xml:space="preserve"> an educative function, signalling</w:t>
      </w:r>
      <w:r w:rsidR="00D40443">
        <w:rPr>
          <w:rFonts w:ascii="Times New Roman" w:hAnsi="Times New Roman" w:cs="Times New Roman"/>
          <w:sz w:val="24"/>
          <w:szCs w:val="24"/>
        </w:rPr>
        <w:t xml:space="preserve"> to trans peoples that there are avenues for legal recourse in the context of discrimination.</w:t>
      </w:r>
      <w:r w:rsidR="00D40443">
        <w:rPr>
          <w:rStyle w:val="FootnoteReference"/>
          <w:rFonts w:ascii="Times New Roman" w:hAnsi="Times New Roman" w:cs="Times New Roman"/>
          <w:sz w:val="24"/>
          <w:szCs w:val="24"/>
        </w:rPr>
        <w:footnoteReference w:id="43"/>
      </w:r>
      <w:r w:rsidR="00562E02">
        <w:rPr>
          <w:rFonts w:ascii="Times New Roman" w:hAnsi="Times New Roman" w:cs="Times New Roman"/>
          <w:sz w:val="24"/>
          <w:szCs w:val="24"/>
        </w:rPr>
        <w:t xml:space="preserve"> </w:t>
      </w:r>
      <w:r w:rsidR="00D40443">
        <w:rPr>
          <w:rFonts w:ascii="Times New Roman" w:hAnsi="Times New Roman" w:cs="Times New Roman"/>
          <w:sz w:val="24"/>
          <w:szCs w:val="24"/>
        </w:rPr>
        <w:t>They do this, however, while making visible that human rights law, amongst other drawbacks, still obscures the complexity of the systemic, and is more easily accessed by those with economic and other forms of privilege.</w:t>
      </w:r>
      <w:r w:rsidR="00D40443">
        <w:rPr>
          <w:rStyle w:val="FootnoteReference"/>
          <w:rFonts w:ascii="Times New Roman" w:hAnsi="Times New Roman" w:cs="Times New Roman"/>
          <w:sz w:val="24"/>
          <w:szCs w:val="24"/>
        </w:rPr>
        <w:footnoteReference w:id="44"/>
      </w:r>
    </w:p>
    <w:p w14:paraId="0975819A" w14:textId="77777777" w:rsidR="00CA698E" w:rsidRDefault="00CA698E" w:rsidP="00DC77D7">
      <w:pPr>
        <w:autoSpaceDE w:val="0"/>
        <w:autoSpaceDN w:val="0"/>
        <w:adjustRightInd w:val="0"/>
        <w:spacing w:after="0" w:line="360" w:lineRule="auto"/>
        <w:rPr>
          <w:rFonts w:ascii="Times New Roman" w:hAnsi="Times New Roman" w:cs="Times New Roman"/>
          <w:sz w:val="24"/>
          <w:szCs w:val="24"/>
        </w:rPr>
      </w:pPr>
    </w:p>
    <w:p w14:paraId="7BF9AFBB" w14:textId="6E6D12BD" w:rsidR="00CA698E" w:rsidRPr="00DC77D7" w:rsidRDefault="00CA698E" w:rsidP="008D64F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This latter critique, that of the limits o</w:t>
      </w:r>
      <w:r w:rsidR="007F2333">
        <w:rPr>
          <w:rFonts w:ascii="Times New Roman" w:hAnsi="Times New Roman" w:cs="Times New Roman"/>
          <w:sz w:val="24"/>
          <w:szCs w:val="24"/>
        </w:rPr>
        <w:t>f</w:t>
      </w:r>
      <w:r>
        <w:rPr>
          <w:rFonts w:ascii="Times New Roman" w:hAnsi="Times New Roman" w:cs="Times New Roman"/>
          <w:sz w:val="24"/>
          <w:szCs w:val="24"/>
        </w:rPr>
        <w:t xml:space="preserve"> rights-based instruments to address structural oppression, is taken up by Leon Laidlaw in his</w:t>
      </w:r>
      <w:r w:rsidR="000263DC">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investigation into the institutional cisgender</w:t>
      </w:r>
      <w:r w:rsidR="00941D06">
        <w:rPr>
          <w:rFonts w:ascii="Times New Roman" w:hAnsi="Times New Roman" w:cs="Times New Roman"/>
          <w:sz w:val="24"/>
          <w:szCs w:val="24"/>
        </w:rPr>
        <w:t>ism in public institutions, in this case,</w:t>
      </w:r>
      <w:r>
        <w:rPr>
          <w:rFonts w:ascii="Times New Roman" w:hAnsi="Times New Roman" w:cs="Times New Roman"/>
          <w:sz w:val="24"/>
          <w:szCs w:val="24"/>
        </w:rPr>
        <w:t xml:space="preserve"> Universities.  His</w:t>
      </w:r>
      <w:r w:rsidR="0052513D">
        <w:rPr>
          <w:rFonts w:ascii="Times New Roman" w:hAnsi="Times New Roman" w:cs="Times New Roman"/>
          <w:sz w:val="24"/>
          <w:szCs w:val="24"/>
        </w:rPr>
        <w:t xml:space="preserve"> </w:t>
      </w:r>
      <w:r>
        <w:rPr>
          <w:rFonts w:ascii="Times New Roman" w:hAnsi="Times New Roman" w:cs="Times New Roman"/>
          <w:sz w:val="24"/>
          <w:szCs w:val="24"/>
        </w:rPr>
        <w:t xml:space="preserve">study of the inclusivity of washrooms, changing rooms and on-campus housing </w:t>
      </w:r>
      <w:r w:rsidR="00232939">
        <w:rPr>
          <w:rFonts w:ascii="Times New Roman" w:hAnsi="Times New Roman" w:cs="Times New Roman"/>
          <w:sz w:val="24"/>
          <w:szCs w:val="24"/>
        </w:rPr>
        <w:t>offer</w:t>
      </w:r>
      <w:r w:rsidR="00D96B5D">
        <w:rPr>
          <w:rFonts w:ascii="Times New Roman" w:hAnsi="Times New Roman" w:cs="Times New Roman"/>
          <w:sz w:val="24"/>
          <w:szCs w:val="24"/>
        </w:rPr>
        <w:t>s three models of accommodation:</w:t>
      </w:r>
      <w:r w:rsidR="00232939">
        <w:rPr>
          <w:rFonts w:ascii="Times New Roman" w:hAnsi="Times New Roman" w:cs="Times New Roman"/>
          <w:sz w:val="24"/>
          <w:szCs w:val="24"/>
        </w:rPr>
        <w:t xml:space="preserve"> binary inclusion, alternativ</w:t>
      </w:r>
      <w:r w:rsidR="00D96B5D">
        <w:rPr>
          <w:rFonts w:ascii="Times New Roman" w:hAnsi="Times New Roman" w:cs="Times New Roman"/>
          <w:sz w:val="24"/>
          <w:szCs w:val="24"/>
        </w:rPr>
        <w:t>e accommodation and degendering.</w:t>
      </w:r>
      <w:r w:rsidR="00D96B5D">
        <w:rPr>
          <w:rStyle w:val="FootnoteReference"/>
          <w:rFonts w:ascii="Times New Roman" w:hAnsi="Times New Roman" w:cs="Times New Roman"/>
          <w:sz w:val="24"/>
          <w:szCs w:val="24"/>
        </w:rPr>
        <w:footnoteReference w:id="46"/>
      </w:r>
      <w:r w:rsidR="00D96B5D">
        <w:rPr>
          <w:rFonts w:ascii="Times New Roman" w:hAnsi="Times New Roman" w:cs="Times New Roman"/>
          <w:sz w:val="24"/>
          <w:szCs w:val="24"/>
        </w:rPr>
        <w:t xml:space="preserve">  In weighing the perils and possibilities</w:t>
      </w:r>
      <w:r w:rsidR="008437DF">
        <w:rPr>
          <w:rFonts w:ascii="Times New Roman" w:hAnsi="Times New Roman" w:cs="Times New Roman"/>
          <w:sz w:val="24"/>
          <w:szCs w:val="24"/>
        </w:rPr>
        <w:t xml:space="preserve"> of each solution </w:t>
      </w:r>
      <w:r w:rsidR="00D96B5D">
        <w:rPr>
          <w:rFonts w:ascii="Times New Roman" w:hAnsi="Times New Roman" w:cs="Times New Roman"/>
          <w:sz w:val="24"/>
          <w:szCs w:val="24"/>
        </w:rPr>
        <w:t>h</w:t>
      </w:r>
      <w:r w:rsidR="00232939">
        <w:rPr>
          <w:rFonts w:ascii="Times New Roman" w:hAnsi="Times New Roman" w:cs="Times New Roman"/>
          <w:sz w:val="24"/>
          <w:szCs w:val="24"/>
        </w:rPr>
        <w:t xml:space="preserve">e argues </w:t>
      </w:r>
      <w:r w:rsidR="00D96B5D">
        <w:rPr>
          <w:rFonts w:ascii="Times New Roman" w:hAnsi="Times New Roman" w:cs="Times New Roman"/>
          <w:sz w:val="24"/>
          <w:szCs w:val="24"/>
        </w:rPr>
        <w:t xml:space="preserve">that notwithstanding efforts at the University level to be rights-compliant, it is </w:t>
      </w:r>
      <w:r w:rsidR="00D96B5D">
        <w:rPr>
          <w:rFonts w:ascii="Times New Roman" w:hAnsi="Times New Roman" w:cs="Times New Roman"/>
          <w:sz w:val="24"/>
          <w:szCs w:val="24"/>
        </w:rPr>
        <w:lastRenderedPageBreak/>
        <w:t xml:space="preserve">evident that </w:t>
      </w:r>
      <w:r w:rsidR="00906E83">
        <w:rPr>
          <w:rFonts w:ascii="Times New Roman" w:hAnsi="Times New Roman" w:cs="Times New Roman"/>
          <w:sz w:val="24"/>
          <w:szCs w:val="24"/>
        </w:rPr>
        <w:t>“</w:t>
      </w:r>
      <w:r w:rsidR="00D96B5D">
        <w:rPr>
          <w:rFonts w:ascii="Times New Roman" w:hAnsi="Times New Roman" w:cs="Times New Roman"/>
          <w:sz w:val="24"/>
          <w:szCs w:val="24"/>
        </w:rPr>
        <w:t>dominant relations of power</w:t>
      </w:r>
      <w:r w:rsidR="00906E83">
        <w:rPr>
          <w:rFonts w:ascii="Times New Roman" w:hAnsi="Times New Roman" w:cs="Times New Roman"/>
          <w:sz w:val="24"/>
          <w:szCs w:val="24"/>
        </w:rPr>
        <w:t>”</w:t>
      </w:r>
      <w:r w:rsidR="00D96B5D">
        <w:rPr>
          <w:rFonts w:ascii="Times New Roman" w:hAnsi="Times New Roman" w:cs="Times New Roman"/>
          <w:sz w:val="24"/>
          <w:szCs w:val="24"/>
        </w:rPr>
        <w:t xml:space="preserve"> continue to condition the lived realities of trans and non-binary students.</w:t>
      </w:r>
      <w:r w:rsidR="00D96B5D">
        <w:rPr>
          <w:rStyle w:val="FootnoteReference"/>
          <w:rFonts w:ascii="Times New Roman" w:hAnsi="Times New Roman" w:cs="Times New Roman"/>
          <w:sz w:val="24"/>
          <w:szCs w:val="24"/>
        </w:rPr>
        <w:footnoteReference w:id="47"/>
      </w:r>
      <w:r w:rsidR="00D96B5D">
        <w:rPr>
          <w:rFonts w:ascii="Times New Roman" w:hAnsi="Times New Roman" w:cs="Times New Roman"/>
          <w:sz w:val="24"/>
          <w:szCs w:val="24"/>
        </w:rPr>
        <w:t xml:space="preserve">  More reimagining and redesigning will be necessary to address the roots of </w:t>
      </w:r>
      <w:r w:rsidR="00906E83">
        <w:rPr>
          <w:rFonts w:ascii="Times New Roman" w:hAnsi="Times New Roman" w:cs="Times New Roman"/>
          <w:sz w:val="24"/>
          <w:szCs w:val="24"/>
        </w:rPr>
        <w:t xml:space="preserve">structural </w:t>
      </w:r>
      <w:r w:rsidR="00D96B5D">
        <w:rPr>
          <w:rFonts w:ascii="Times New Roman" w:hAnsi="Times New Roman" w:cs="Times New Roman"/>
          <w:sz w:val="24"/>
          <w:szCs w:val="24"/>
        </w:rPr>
        <w:t>oppression and violence, and to resolve the intersectional barriers to inclusion</w:t>
      </w:r>
      <w:r w:rsidR="00B02735">
        <w:rPr>
          <w:rFonts w:ascii="Times New Roman" w:hAnsi="Times New Roman" w:cs="Times New Roman"/>
          <w:sz w:val="24"/>
          <w:szCs w:val="24"/>
        </w:rPr>
        <w:t xml:space="preserve"> in university environments</w:t>
      </w:r>
      <w:r w:rsidR="00D96B5D">
        <w:rPr>
          <w:rFonts w:ascii="Times New Roman" w:hAnsi="Times New Roman" w:cs="Times New Roman"/>
          <w:sz w:val="24"/>
          <w:szCs w:val="24"/>
        </w:rPr>
        <w:t>.</w:t>
      </w:r>
      <w:r w:rsidR="00D96B5D">
        <w:rPr>
          <w:rStyle w:val="FootnoteReference"/>
          <w:rFonts w:ascii="Times New Roman" w:hAnsi="Times New Roman" w:cs="Times New Roman"/>
          <w:sz w:val="24"/>
          <w:szCs w:val="24"/>
        </w:rPr>
        <w:footnoteReference w:id="48"/>
      </w:r>
    </w:p>
    <w:p w14:paraId="34D7A161" w14:textId="77777777" w:rsidR="00BD6388" w:rsidRDefault="00BD6388" w:rsidP="008D64F6">
      <w:pPr>
        <w:spacing w:after="0" w:line="360" w:lineRule="auto"/>
        <w:rPr>
          <w:rFonts w:ascii="Times New Roman" w:hAnsi="Times New Roman" w:cs="Times New Roman"/>
          <w:sz w:val="24"/>
          <w:szCs w:val="24"/>
        </w:rPr>
      </w:pPr>
    </w:p>
    <w:p w14:paraId="4F56D73C" w14:textId="5A689DDF" w:rsidR="008D64F6" w:rsidRDefault="008D64F6" w:rsidP="008D64F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All the aut</w:t>
      </w:r>
      <w:r w:rsidR="00941D06">
        <w:rPr>
          <w:rFonts w:ascii="Times New Roman" w:hAnsi="Times New Roman" w:cs="Times New Roman"/>
          <w:sz w:val="24"/>
          <w:szCs w:val="24"/>
        </w:rPr>
        <w:t xml:space="preserve">hors use as a touchstone </w:t>
      </w:r>
      <w:r>
        <w:rPr>
          <w:rFonts w:ascii="Times New Roman" w:hAnsi="Times New Roman" w:cs="Times New Roman"/>
          <w:sz w:val="24"/>
          <w:szCs w:val="24"/>
        </w:rPr>
        <w:t>that the inclusion of the lived experience of trans people within a human rights context is essential.  There is no question that trans rights are human rights.</w:t>
      </w:r>
      <w:r w:rsidR="006142C8">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But, each of the authors also critiques and moves beyond the human rights framework, to cast their</w:t>
      </w:r>
      <w:r w:rsidR="00941D06">
        <w:rPr>
          <w:rFonts w:ascii="Times New Roman" w:hAnsi="Times New Roman" w:cs="Times New Roman"/>
          <w:sz w:val="24"/>
          <w:szCs w:val="24"/>
        </w:rPr>
        <w:t xml:space="preserve"> arguments in regimes beyond human rights</w:t>
      </w:r>
      <w:r>
        <w:rPr>
          <w:rFonts w:ascii="Times New Roman" w:hAnsi="Times New Roman" w:cs="Times New Roman"/>
          <w:sz w:val="24"/>
          <w:szCs w:val="24"/>
        </w:rPr>
        <w:t xml:space="preserve"> law, and in contexts in which the issue is not so much about recognition as it is about s</w:t>
      </w:r>
      <w:r w:rsidR="007220F2">
        <w:rPr>
          <w:rFonts w:ascii="Times New Roman" w:hAnsi="Times New Roman" w:cs="Times New Roman"/>
          <w:sz w:val="24"/>
          <w:szCs w:val="24"/>
        </w:rPr>
        <w:t>urvival.  Samuel Singer asserts:</w:t>
      </w:r>
    </w:p>
    <w:p w14:paraId="518C0032" w14:textId="6FA061BB" w:rsidR="008D64F6" w:rsidRDefault="008D64F6" w:rsidP="008D64F6">
      <w:pPr>
        <w:autoSpaceDE w:val="0"/>
        <w:autoSpaceDN w:val="0"/>
        <w:adjustRightInd w:val="0"/>
        <w:spacing w:after="0" w:line="240" w:lineRule="auto"/>
        <w:ind w:left="720"/>
        <w:rPr>
          <w:rFonts w:ascii="Times New Roman" w:hAnsi="Times New Roman" w:cs="Times New Roman"/>
          <w:sz w:val="24"/>
          <w:szCs w:val="24"/>
        </w:rPr>
      </w:pPr>
      <w:r w:rsidRPr="008D64F6">
        <w:rPr>
          <w:rFonts w:ascii="Times New Roman" w:hAnsi="Times New Roman" w:cs="Times New Roman"/>
          <w:sz w:val="24"/>
          <w:szCs w:val="24"/>
        </w:rPr>
        <w:t>there is much more work to do to identify legal priorities that centre distributive justice and trans survival. Trans jurisprudence and trans legal needs assessments provide us with starting points. Trans justice is guided by the pressing needs of marginalized trans people. It goes beyond legal recognition through explicit human rights grounds and turns to the substantive work of helping marginalized trans people survive—by increasing access to low-cost housing and social benefits, decriminalizing sex work and drug</w:t>
      </w:r>
      <w:r>
        <w:rPr>
          <w:rFonts w:ascii="Times New Roman" w:hAnsi="Times New Roman" w:cs="Times New Roman"/>
          <w:sz w:val="24"/>
          <w:szCs w:val="24"/>
        </w:rPr>
        <w:t xml:space="preserve"> </w:t>
      </w:r>
      <w:r w:rsidRPr="008D64F6">
        <w:rPr>
          <w:rFonts w:ascii="Times New Roman" w:hAnsi="Times New Roman" w:cs="Times New Roman"/>
          <w:sz w:val="24"/>
          <w:szCs w:val="24"/>
        </w:rPr>
        <w:t>use, fighting against racial profiling, supporting trans parents and trans youth, and through other projects that increase trans people’s life chances.</w:t>
      </w:r>
      <w:r w:rsidR="005027C9">
        <w:rPr>
          <w:rStyle w:val="FootnoteReference"/>
          <w:rFonts w:ascii="Times New Roman" w:hAnsi="Times New Roman" w:cs="Times New Roman"/>
          <w:sz w:val="24"/>
          <w:szCs w:val="24"/>
        </w:rPr>
        <w:footnoteReference w:id="50"/>
      </w:r>
    </w:p>
    <w:p w14:paraId="02F0717C" w14:textId="77777777" w:rsidR="008D64F6" w:rsidRDefault="008D64F6" w:rsidP="008D64F6">
      <w:pPr>
        <w:autoSpaceDE w:val="0"/>
        <w:autoSpaceDN w:val="0"/>
        <w:adjustRightInd w:val="0"/>
        <w:spacing w:after="0" w:line="240" w:lineRule="auto"/>
        <w:ind w:left="720"/>
        <w:rPr>
          <w:rFonts w:ascii="Times New Roman" w:hAnsi="Times New Roman" w:cs="Times New Roman"/>
          <w:sz w:val="24"/>
          <w:szCs w:val="24"/>
        </w:rPr>
      </w:pPr>
    </w:p>
    <w:p w14:paraId="38C6057D" w14:textId="1A64AE9A" w:rsidR="00932219" w:rsidRDefault="008D64F6" w:rsidP="008C354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w:t>
      </w:r>
      <w:r w:rsidR="004D3120">
        <w:rPr>
          <w:rFonts w:ascii="Times New Roman" w:hAnsi="Times New Roman" w:cs="Times New Roman"/>
          <w:sz w:val="24"/>
          <w:szCs w:val="24"/>
        </w:rPr>
        <w:t xml:space="preserve"> tension that is manifested</w:t>
      </w:r>
      <w:r w:rsidR="008C354B">
        <w:rPr>
          <w:rFonts w:ascii="Times New Roman" w:hAnsi="Times New Roman" w:cs="Times New Roman"/>
          <w:sz w:val="24"/>
          <w:szCs w:val="24"/>
        </w:rPr>
        <w:t xml:space="preserve"> in these narratives is one between trailblazing and survival.</w:t>
      </w:r>
      <w:r w:rsidR="008C354B">
        <w:rPr>
          <w:rStyle w:val="FootnoteReference"/>
          <w:rFonts w:ascii="Times New Roman" w:hAnsi="Times New Roman" w:cs="Times New Roman"/>
          <w:sz w:val="24"/>
          <w:szCs w:val="24"/>
        </w:rPr>
        <w:footnoteReference w:id="51"/>
      </w:r>
      <w:r w:rsidR="004D3120">
        <w:rPr>
          <w:rFonts w:ascii="Times New Roman" w:hAnsi="Times New Roman" w:cs="Times New Roman"/>
          <w:sz w:val="24"/>
          <w:szCs w:val="24"/>
        </w:rPr>
        <w:t xml:space="preserve">  There is evocative</w:t>
      </w:r>
      <w:r w:rsidR="008C354B">
        <w:rPr>
          <w:rFonts w:ascii="Times New Roman" w:hAnsi="Times New Roman" w:cs="Times New Roman"/>
          <w:sz w:val="24"/>
          <w:szCs w:val="24"/>
        </w:rPr>
        <w:t xml:space="preserve"> work here, </w:t>
      </w:r>
      <w:r>
        <w:rPr>
          <w:rFonts w:ascii="Times New Roman" w:hAnsi="Times New Roman" w:cs="Times New Roman"/>
          <w:sz w:val="24"/>
          <w:szCs w:val="24"/>
        </w:rPr>
        <w:t>both in trans communities</w:t>
      </w:r>
      <w:r w:rsidR="008C354B">
        <w:rPr>
          <w:rFonts w:ascii="Times New Roman" w:hAnsi="Times New Roman" w:cs="Times New Roman"/>
          <w:sz w:val="24"/>
          <w:szCs w:val="24"/>
        </w:rPr>
        <w:t xml:space="preserve"> by those advocating for material changes in their lives, and in this volume – by scholars and activists working to support those </w:t>
      </w:r>
      <w:r w:rsidR="008C354B">
        <w:rPr>
          <w:rFonts w:ascii="Times New Roman" w:hAnsi="Times New Roman" w:cs="Times New Roman"/>
          <w:sz w:val="24"/>
          <w:szCs w:val="24"/>
        </w:rPr>
        <w:lastRenderedPageBreak/>
        <w:t>very calls for change.</w:t>
      </w:r>
      <w:r w:rsidR="004D3120">
        <w:rPr>
          <w:rStyle w:val="FootnoteReference"/>
          <w:rFonts w:ascii="Times New Roman" w:hAnsi="Times New Roman" w:cs="Times New Roman"/>
          <w:sz w:val="24"/>
          <w:szCs w:val="24"/>
        </w:rPr>
        <w:footnoteReference w:id="52"/>
      </w:r>
      <w:r w:rsidR="008C354B">
        <w:rPr>
          <w:rFonts w:ascii="Times New Roman" w:hAnsi="Times New Roman" w:cs="Times New Roman"/>
          <w:sz w:val="24"/>
          <w:szCs w:val="24"/>
        </w:rPr>
        <w:t xml:space="preserve">  </w:t>
      </w:r>
      <w:r w:rsidR="00F65457">
        <w:rPr>
          <w:rFonts w:ascii="Times New Roman" w:hAnsi="Times New Roman" w:cs="Times New Roman"/>
          <w:sz w:val="24"/>
          <w:szCs w:val="24"/>
        </w:rPr>
        <w:t>And there is at the same time a recognition that “declaring marginalized people equal under the law does little to improve their daily lives.”</w:t>
      </w:r>
      <w:r w:rsidR="00F65457">
        <w:rPr>
          <w:rStyle w:val="FootnoteReference"/>
          <w:rFonts w:ascii="Times New Roman" w:hAnsi="Times New Roman" w:cs="Times New Roman"/>
          <w:sz w:val="24"/>
          <w:szCs w:val="24"/>
        </w:rPr>
        <w:footnoteReference w:id="53"/>
      </w:r>
    </w:p>
    <w:p w14:paraId="1FCD5791" w14:textId="77777777" w:rsidR="00500EB1" w:rsidRDefault="00500EB1" w:rsidP="00DC77D7">
      <w:pPr>
        <w:spacing w:after="0" w:line="360" w:lineRule="auto"/>
        <w:rPr>
          <w:rFonts w:ascii="Times New Roman" w:hAnsi="Times New Roman" w:cs="Times New Roman"/>
          <w:sz w:val="24"/>
          <w:szCs w:val="24"/>
        </w:rPr>
      </w:pPr>
    </w:p>
    <w:p w14:paraId="23A51046" w14:textId="2F104BDF" w:rsidR="0006133D" w:rsidRDefault="004E5E61" w:rsidP="007220F2">
      <w:pPr>
        <w:pStyle w:val="Heading2"/>
      </w:pPr>
      <w:r>
        <w:t>The Quotidian:  The Ordinary and</w:t>
      </w:r>
      <w:r w:rsidR="0006133D" w:rsidRPr="00FB7247">
        <w:t xml:space="preserve"> the Every Day</w:t>
      </w:r>
    </w:p>
    <w:p w14:paraId="0E6E028F" w14:textId="77777777" w:rsidR="005C21F5" w:rsidRPr="005C21F5" w:rsidRDefault="005C21F5" w:rsidP="005C21F5">
      <w:pPr>
        <w:autoSpaceDE w:val="0"/>
        <w:autoSpaceDN w:val="0"/>
        <w:adjustRightInd w:val="0"/>
        <w:spacing w:before="240" w:after="0" w:line="240" w:lineRule="auto"/>
        <w:ind w:left="720"/>
        <w:rPr>
          <w:rFonts w:ascii="Times New Roman" w:hAnsi="Times New Roman" w:cs="Times New Roman"/>
          <w:sz w:val="24"/>
          <w:szCs w:val="24"/>
        </w:rPr>
      </w:pPr>
      <w:r w:rsidRPr="005C21F5">
        <w:rPr>
          <w:rFonts w:ascii="Times New Roman" w:hAnsi="Times New Roman" w:cs="Times New Roman"/>
          <w:i/>
          <w:sz w:val="24"/>
          <w:szCs w:val="24"/>
        </w:rPr>
        <w:t>A mentor and mama to generations of queer, Two Spirit, trans, and Indigenous youth, Jamie Lee</w:t>
      </w:r>
      <w:r>
        <w:rPr>
          <w:rFonts w:ascii="Times New Roman" w:hAnsi="Times New Roman" w:cs="Times New Roman"/>
          <w:i/>
          <w:sz w:val="24"/>
          <w:szCs w:val="24"/>
        </w:rPr>
        <w:t xml:space="preserve"> [Hamilton]</w:t>
      </w:r>
      <w:r w:rsidRPr="005C21F5">
        <w:rPr>
          <w:rFonts w:ascii="Times New Roman" w:hAnsi="Times New Roman" w:cs="Times New Roman"/>
          <w:i/>
          <w:sz w:val="24"/>
          <w:szCs w:val="24"/>
        </w:rPr>
        <w:t xml:space="preserve"> was respected for her kindness, mentorship, tenacity, and generosity of spirit. Her appetite for MAC cosmetics, Chinese cuisine, fish &amp; chips, glamorous fashion, community building, and radical social justice was epic.</w:t>
      </w:r>
      <w:r>
        <w:rPr>
          <w:rStyle w:val="FootnoteReference"/>
          <w:rFonts w:ascii="Times New Roman" w:hAnsi="Times New Roman" w:cs="Times New Roman"/>
          <w:i/>
          <w:sz w:val="24"/>
          <w:szCs w:val="24"/>
        </w:rPr>
        <w:footnoteReference w:id="54"/>
      </w:r>
    </w:p>
    <w:p w14:paraId="2D64D31C" w14:textId="77777777" w:rsidR="005C21F5" w:rsidRPr="005C21F5" w:rsidRDefault="005C21F5" w:rsidP="005C21F5">
      <w:pPr>
        <w:autoSpaceDE w:val="0"/>
        <w:autoSpaceDN w:val="0"/>
        <w:adjustRightInd w:val="0"/>
        <w:spacing w:after="0" w:line="240" w:lineRule="auto"/>
        <w:rPr>
          <w:rFonts w:ascii="AdvOT1ef757c0" w:hAnsi="AdvOT1ef757c0" w:cs="AdvOT1ef757c0"/>
          <w:i/>
          <w:sz w:val="20"/>
          <w:szCs w:val="20"/>
        </w:rPr>
      </w:pPr>
    </w:p>
    <w:p w14:paraId="1003A4A1" w14:textId="570447C8" w:rsidR="008C354B" w:rsidRDefault="008658DB" w:rsidP="001603FB">
      <w:pPr>
        <w:spacing w:after="0" w:line="360" w:lineRule="auto"/>
        <w:rPr>
          <w:rFonts w:ascii="Times New Roman" w:hAnsi="Times New Roman" w:cs="Times New Roman"/>
          <w:sz w:val="24"/>
          <w:szCs w:val="24"/>
        </w:rPr>
      </w:pPr>
      <w:r>
        <w:rPr>
          <w:rFonts w:ascii="Times New Roman" w:hAnsi="Times New Roman" w:cs="Times New Roman"/>
          <w:sz w:val="24"/>
          <w:szCs w:val="24"/>
        </w:rPr>
        <w:t>The scholarship in this volume, while addressing the fundamenta</w:t>
      </w:r>
      <w:r w:rsidR="00B7468E">
        <w:rPr>
          <w:rFonts w:ascii="Times New Roman" w:hAnsi="Times New Roman" w:cs="Times New Roman"/>
          <w:sz w:val="24"/>
          <w:szCs w:val="24"/>
        </w:rPr>
        <w:t xml:space="preserve">l issues </w:t>
      </w:r>
      <w:r>
        <w:rPr>
          <w:rFonts w:ascii="Times New Roman" w:hAnsi="Times New Roman" w:cs="Times New Roman"/>
          <w:sz w:val="24"/>
          <w:szCs w:val="24"/>
        </w:rPr>
        <w:t>of human rights, of lives lived on the margins, of recognition and survival, also address</w:t>
      </w:r>
      <w:r w:rsidR="001B3F35">
        <w:rPr>
          <w:rFonts w:ascii="Times New Roman" w:hAnsi="Times New Roman" w:cs="Times New Roman"/>
          <w:sz w:val="24"/>
          <w:szCs w:val="24"/>
        </w:rPr>
        <w:t>es</w:t>
      </w:r>
      <w:r>
        <w:rPr>
          <w:rFonts w:ascii="Times New Roman" w:hAnsi="Times New Roman" w:cs="Times New Roman"/>
          <w:sz w:val="24"/>
          <w:szCs w:val="24"/>
        </w:rPr>
        <w:t xml:space="preserve"> the ordinary, the achingly human, and the every day.</w:t>
      </w:r>
      <w:r>
        <w:rPr>
          <w:rStyle w:val="FootnoteReference"/>
          <w:rFonts w:ascii="Times New Roman" w:hAnsi="Times New Roman" w:cs="Times New Roman"/>
          <w:sz w:val="24"/>
          <w:szCs w:val="24"/>
        </w:rPr>
        <w:footnoteReference w:id="55"/>
      </w:r>
      <w:r w:rsidR="00B7468E">
        <w:rPr>
          <w:rFonts w:ascii="Times New Roman" w:hAnsi="Times New Roman" w:cs="Times New Roman"/>
          <w:sz w:val="24"/>
          <w:szCs w:val="24"/>
        </w:rPr>
        <w:t xml:space="preserve"> And while </w:t>
      </w:r>
      <w:r>
        <w:rPr>
          <w:rFonts w:ascii="Times New Roman" w:hAnsi="Times New Roman" w:cs="Times New Roman"/>
          <w:sz w:val="24"/>
          <w:szCs w:val="24"/>
        </w:rPr>
        <w:t>that might not sound like the subject of exhilarating and compelling scholarshi</w:t>
      </w:r>
      <w:r w:rsidR="001B3F35">
        <w:rPr>
          <w:rFonts w:ascii="Times New Roman" w:hAnsi="Times New Roman" w:cs="Times New Roman"/>
          <w:sz w:val="24"/>
          <w:szCs w:val="24"/>
        </w:rPr>
        <w:t>p, what this volume points to are</w:t>
      </w:r>
      <w:r>
        <w:rPr>
          <w:rFonts w:ascii="Times New Roman" w:hAnsi="Times New Roman" w:cs="Times New Roman"/>
          <w:sz w:val="24"/>
          <w:szCs w:val="24"/>
        </w:rPr>
        <w:t xml:space="preserve"> the places where trans lives matter</w:t>
      </w:r>
      <w:r w:rsidR="00F02980">
        <w:rPr>
          <w:rFonts w:ascii="Times New Roman" w:hAnsi="Times New Roman" w:cs="Times New Roman"/>
          <w:sz w:val="24"/>
          <w:szCs w:val="24"/>
        </w:rPr>
        <w:t>. T</w:t>
      </w:r>
      <w:r w:rsidR="00BB25A0">
        <w:rPr>
          <w:rFonts w:ascii="Times New Roman" w:hAnsi="Times New Roman" w:cs="Times New Roman"/>
          <w:sz w:val="24"/>
          <w:szCs w:val="24"/>
        </w:rPr>
        <w:t>hings t</w:t>
      </w:r>
      <w:r>
        <w:rPr>
          <w:rFonts w:ascii="Times New Roman" w:hAnsi="Times New Roman" w:cs="Times New Roman"/>
          <w:sz w:val="24"/>
          <w:szCs w:val="24"/>
        </w:rPr>
        <w:t>hat might ordinarily be taken for granted</w:t>
      </w:r>
      <w:r w:rsidR="00F02980">
        <w:rPr>
          <w:rFonts w:ascii="Times New Roman" w:hAnsi="Times New Roman" w:cs="Times New Roman"/>
          <w:sz w:val="24"/>
          <w:szCs w:val="24"/>
        </w:rPr>
        <w:t>, like a safe place to change before going swimming with your family, or having your gender identity recognized in dorm room assignments,</w:t>
      </w:r>
      <w:r>
        <w:rPr>
          <w:rFonts w:ascii="Times New Roman" w:hAnsi="Times New Roman" w:cs="Times New Roman"/>
          <w:sz w:val="24"/>
          <w:szCs w:val="24"/>
        </w:rPr>
        <w:t xml:space="preserve"> can look very different through a trans and non-binary lens.</w:t>
      </w:r>
      <w:r w:rsidR="00B05ED9">
        <w:rPr>
          <w:rFonts w:ascii="Times New Roman" w:hAnsi="Times New Roman" w:cs="Times New Roman"/>
          <w:sz w:val="24"/>
          <w:szCs w:val="24"/>
        </w:rPr>
        <w:t xml:space="preserve">  </w:t>
      </w:r>
      <w:r w:rsidR="00BB25A0">
        <w:rPr>
          <w:rFonts w:ascii="Times New Roman" w:hAnsi="Times New Roman" w:cs="Times New Roman"/>
          <w:sz w:val="24"/>
          <w:szCs w:val="24"/>
        </w:rPr>
        <w:t>In other words, it is important to acknowledge</w:t>
      </w:r>
      <w:r w:rsidR="00B05ED9">
        <w:rPr>
          <w:rFonts w:ascii="Times New Roman" w:hAnsi="Times New Roman" w:cs="Times New Roman"/>
          <w:sz w:val="24"/>
          <w:szCs w:val="24"/>
        </w:rPr>
        <w:t xml:space="preserve"> that, as in critical disability studies, difference is not deficit;</w:t>
      </w:r>
      <w:r w:rsidR="00B05ED9">
        <w:rPr>
          <w:rStyle w:val="FootnoteReference"/>
          <w:rFonts w:ascii="Times New Roman" w:hAnsi="Times New Roman" w:cs="Times New Roman"/>
          <w:sz w:val="24"/>
          <w:szCs w:val="24"/>
        </w:rPr>
        <w:footnoteReference w:id="56"/>
      </w:r>
      <w:r w:rsidR="00BB25A0">
        <w:rPr>
          <w:rFonts w:ascii="Times New Roman" w:hAnsi="Times New Roman" w:cs="Times New Roman"/>
          <w:sz w:val="24"/>
          <w:szCs w:val="24"/>
        </w:rPr>
        <w:t xml:space="preserve"> at the same time there is an inherent violence in</w:t>
      </w:r>
      <w:r w:rsidR="00B05ED9">
        <w:rPr>
          <w:rFonts w:ascii="Times New Roman" w:hAnsi="Times New Roman" w:cs="Times New Roman"/>
          <w:sz w:val="24"/>
          <w:szCs w:val="24"/>
        </w:rPr>
        <w:t xml:space="preserve"> cisnormativity</w:t>
      </w:r>
      <w:r w:rsidR="001C76C7">
        <w:rPr>
          <w:rStyle w:val="FootnoteReference"/>
          <w:rFonts w:ascii="Times New Roman" w:hAnsi="Times New Roman" w:cs="Times New Roman"/>
          <w:sz w:val="24"/>
          <w:szCs w:val="24"/>
        </w:rPr>
        <w:footnoteReference w:id="57"/>
      </w:r>
      <w:r w:rsidR="00BB25A0">
        <w:rPr>
          <w:rFonts w:ascii="Times New Roman" w:hAnsi="Times New Roman" w:cs="Times New Roman"/>
          <w:sz w:val="24"/>
          <w:szCs w:val="24"/>
        </w:rPr>
        <w:t xml:space="preserve"> that is often invisible within that which</w:t>
      </w:r>
      <w:r w:rsidR="00B05ED9">
        <w:rPr>
          <w:rFonts w:ascii="Times New Roman" w:hAnsi="Times New Roman" w:cs="Times New Roman"/>
          <w:sz w:val="24"/>
          <w:szCs w:val="24"/>
        </w:rPr>
        <w:t xml:space="preserve"> is otherwise taken for granted.</w:t>
      </w:r>
    </w:p>
    <w:p w14:paraId="76CF6497" w14:textId="77777777" w:rsidR="00B05ED9" w:rsidRDefault="00B05ED9" w:rsidP="001603FB">
      <w:pPr>
        <w:spacing w:after="0" w:line="360" w:lineRule="auto"/>
        <w:rPr>
          <w:rFonts w:ascii="Times New Roman" w:hAnsi="Times New Roman" w:cs="Times New Roman"/>
          <w:sz w:val="24"/>
          <w:szCs w:val="24"/>
        </w:rPr>
      </w:pPr>
    </w:p>
    <w:p w14:paraId="0D52E63A" w14:textId="3D5188FB" w:rsidR="00B05ED9" w:rsidRDefault="00B05ED9" w:rsidP="001603FB">
      <w:pPr>
        <w:spacing w:after="0" w:line="360" w:lineRule="auto"/>
        <w:rPr>
          <w:rFonts w:ascii="Times New Roman" w:hAnsi="Times New Roman" w:cs="Times New Roman"/>
          <w:sz w:val="24"/>
          <w:szCs w:val="24"/>
        </w:rPr>
      </w:pPr>
      <w:r>
        <w:rPr>
          <w:rFonts w:ascii="Times New Roman" w:hAnsi="Times New Roman" w:cs="Times New Roman"/>
          <w:sz w:val="24"/>
          <w:szCs w:val="24"/>
        </w:rPr>
        <w:t>First and foremost, there is a compelling sense, throughout the volume, of the lives of trans peo</w:t>
      </w:r>
      <w:r w:rsidR="005E424D">
        <w:rPr>
          <w:rFonts w:ascii="Times New Roman" w:hAnsi="Times New Roman" w:cs="Times New Roman"/>
          <w:sz w:val="24"/>
          <w:szCs w:val="24"/>
        </w:rPr>
        <w:t>ple as dignified and worthy</w:t>
      </w:r>
      <w:r w:rsidR="00875CFE">
        <w:rPr>
          <w:rFonts w:ascii="Times New Roman" w:hAnsi="Times New Roman" w:cs="Times New Roman"/>
          <w:sz w:val="24"/>
          <w:szCs w:val="24"/>
        </w:rPr>
        <w:t xml:space="preserve"> of respect</w:t>
      </w:r>
      <w:r>
        <w:rPr>
          <w:rFonts w:ascii="Times New Roman" w:hAnsi="Times New Roman" w:cs="Times New Roman"/>
          <w:sz w:val="24"/>
          <w:szCs w:val="24"/>
        </w:rPr>
        <w:t xml:space="preserve">.  </w:t>
      </w:r>
      <w:r w:rsidR="00242042">
        <w:rPr>
          <w:rFonts w:ascii="Times New Roman" w:hAnsi="Times New Roman" w:cs="Times New Roman"/>
          <w:sz w:val="24"/>
          <w:szCs w:val="24"/>
        </w:rPr>
        <w:t>N</w:t>
      </w:r>
      <w:r>
        <w:rPr>
          <w:rFonts w:ascii="Times New Roman" w:hAnsi="Times New Roman" w:cs="Times New Roman"/>
          <w:sz w:val="24"/>
          <w:szCs w:val="24"/>
        </w:rPr>
        <w:t xml:space="preserve">otwithstanding </w:t>
      </w:r>
      <w:r w:rsidR="00242042">
        <w:rPr>
          <w:rFonts w:ascii="Times New Roman" w:hAnsi="Times New Roman" w:cs="Times New Roman"/>
          <w:sz w:val="24"/>
          <w:szCs w:val="24"/>
        </w:rPr>
        <w:t xml:space="preserve">that </w:t>
      </w:r>
      <w:r w:rsidR="00875CFE">
        <w:rPr>
          <w:rFonts w:ascii="Times New Roman" w:hAnsi="Times New Roman" w:cs="Times New Roman"/>
          <w:sz w:val="24"/>
          <w:szCs w:val="24"/>
        </w:rPr>
        <w:t xml:space="preserve">trans </w:t>
      </w:r>
      <w:r>
        <w:rPr>
          <w:rFonts w:ascii="Times New Roman" w:hAnsi="Times New Roman" w:cs="Times New Roman"/>
          <w:sz w:val="24"/>
          <w:szCs w:val="24"/>
        </w:rPr>
        <w:t xml:space="preserve">lives tend to have more justiciable legal problems than </w:t>
      </w:r>
      <w:r w:rsidR="00875CFE">
        <w:rPr>
          <w:rFonts w:ascii="Times New Roman" w:hAnsi="Times New Roman" w:cs="Times New Roman"/>
          <w:sz w:val="24"/>
          <w:szCs w:val="24"/>
        </w:rPr>
        <w:t xml:space="preserve">those of </w:t>
      </w:r>
      <w:r>
        <w:rPr>
          <w:rFonts w:ascii="Times New Roman" w:hAnsi="Times New Roman" w:cs="Times New Roman"/>
          <w:sz w:val="24"/>
          <w:szCs w:val="24"/>
        </w:rPr>
        <w:t>other Canadians</w:t>
      </w:r>
      <w:r>
        <w:rPr>
          <w:rStyle w:val="FootnoteReference"/>
          <w:rFonts w:ascii="Times New Roman" w:hAnsi="Times New Roman" w:cs="Times New Roman"/>
          <w:sz w:val="24"/>
          <w:szCs w:val="24"/>
        </w:rPr>
        <w:footnoteReference w:id="58"/>
      </w:r>
      <w:r w:rsidR="005E424D">
        <w:rPr>
          <w:rFonts w:ascii="Times New Roman" w:hAnsi="Times New Roman" w:cs="Times New Roman"/>
          <w:sz w:val="24"/>
          <w:szCs w:val="24"/>
        </w:rPr>
        <w:t xml:space="preserve"> there is underlying all this </w:t>
      </w:r>
      <w:r w:rsidR="00875CFE">
        <w:rPr>
          <w:rFonts w:ascii="Times New Roman" w:hAnsi="Times New Roman" w:cs="Times New Roman"/>
          <w:sz w:val="24"/>
          <w:szCs w:val="24"/>
        </w:rPr>
        <w:t>“</w:t>
      </w:r>
      <w:r w:rsidR="005E424D">
        <w:rPr>
          <w:rFonts w:ascii="Times New Roman" w:hAnsi="Times New Roman" w:cs="Times New Roman"/>
          <w:sz w:val="24"/>
          <w:szCs w:val="24"/>
        </w:rPr>
        <w:t xml:space="preserve">brave and </w:t>
      </w:r>
      <w:r w:rsidR="005E424D">
        <w:rPr>
          <w:rFonts w:ascii="Times New Roman" w:hAnsi="Times New Roman" w:cs="Times New Roman"/>
          <w:sz w:val="24"/>
          <w:szCs w:val="24"/>
        </w:rPr>
        <w:lastRenderedPageBreak/>
        <w:t>brilliant</w:t>
      </w:r>
      <w:r w:rsidR="00875CFE">
        <w:rPr>
          <w:rFonts w:ascii="Times New Roman" w:hAnsi="Times New Roman" w:cs="Times New Roman"/>
          <w:sz w:val="24"/>
          <w:szCs w:val="24"/>
        </w:rPr>
        <w:t>”</w:t>
      </w:r>
      <w:r w:rsidR="0064507C">
        <w:rPr>
          <w:rStyle w:val="FootnoteReference"/>
          <w:rFonts w:ascii="Times New Roman" w:hAnsi="Times New Roman" w:cs="Times New Roman"/>
          <w:sz w:val="24"/>
          <w:szCs w:val="24"/>
        </w:rPr>
        <w:footnoteReference w:id="59"/>
      </w:r>
      <w:r w:rsidR="00875CFE">
        <w:rPr>
          <w:rFonts w:ascii="Times New Roman" w:hAnsi="Times New Roman" w:cs="Times New Roman"/>
          <w:sz w:val="24"/>
          <w:szCs w:val="24"/>
        </w:rPr>
        <w:t xml:space="preserve"> scholarship, a </w:t>
      </w:r>
      <w:r w:rsidR="005E424D">
        <w:rPr>
          <w:rFonts w:ascii="Times New Roman" w:hAnsi="Times New Roman" w:cs="Times New Roman"/>
          <w:sz w:val="24"/>
          <w:szCs w:val="24"/>
        </w:rPr>
        <w:t>call for people to be able to just be who they are. Becki Ross’ brief obituary of Jamie Lee Hamilton captures these tensions fully – Trans, Two-Spirit, Metis and C</w:t>
      </w:r>
      <w:r w:rsidR="001B3F35">
        <w:rPr>
          <w:rFonts w:ascii="Times New Roman" w:hAnsi="Times New Roman" w:cs="Times New Roman"/>
          <w:sz w:val="24"/>
          <w:szCs w:val="24"/>
        </w:rPr>
        <w:t>ree, Hamilton</w:t>
      </w:r>
      <w:r w:rsidR="005E424D">
        <w:rPr>
          <w:rFonts w:ascii="Times New Roman" w:hAnsi="Times New Roman" w:cs="Times New Roman"/>
          <w:sz w:val="24"/>
          <w:szCs w:val="24"/>
        </w:rPr>
        <w:t xml:space="preserve"> is remembered for dedicating her life </w:t>
      </w:r>
      <w:r w:rsidR="001B3F35">
        <w:rPr>
          <w:rFonts w:ascii="Times New Roman" w:hAnsi="Times New Roman" w:cs="Times New Roman"/>
          <w:sz w:val="24"/>
          <w:szCs w:val="24"/>
        </w:rPr>
        <w:t>to advocating</w:t>
      </w:r>
      <w:r w:rsidR="005E424D">
        <w:rPr>
          <w:rFonts w:ascii="Times New Roman" w:hAnsi="Times New Roman" w:cs="Times New Roman"/>
          <w:sz w:val="24"/>
          <w:szCs w:val="24"/>
        </w:rPr>
        <w:t xml:space="preserve"> for Indigenous peoples, sex workers, LGBTQ+ and low income folk in Vancouver’s poorest neighbourhood, the downtown eastside.</w:t>
      </w:r>
      <w:r w:rsidR="005E424D">
        <w:rPr>
          <w:rStyle w:val="FootnoteReference"/>
          <w:rFonts w:ascii="Times New Roman" w:hAnsi="Times New Roman" w:cs="Times New Roman"/>
          <w:sz w:val="24"/>
          <w:szCs w:val="24"/>
        </w:rPr>
        <w:footnoteReference w:id="60"/>
      </w:r>
      <w:r w:rsidR="005E424D">
        <w:rPr>
          <w:rFonts w:ascii="Times New Roman" w:hAnsi="Times New Roman" w:cs="Times New Roman"/>
          <w:sz w:val="24"/>
          <w:szCs w:val="24"/>
        </w:rPr>
        <w:t xml:space="preserve">  Hamilton was</w:t>
      </w:r>
      <w:r w:rsidR="001F3084">
        <w:rPr>
          <w:rFonts w:ascii="Times New Roman" w:hAnsi="Times New Roman" w:cs="Times New Roman"/>
          <w:sz w:val="24"/>
          <w:szCs w:val="24"/>
        </w:rPr>
        <w:t xml:space="preserve"> also celebrated in the keynote</w:t>
      </w:r>
      <w:r w:rsidR="005E424D">
        <w:rPr>
          <w:rFonts w:ascii="Times New Roman" w:hAnsi="Times New Roman" w:cs="Times New Roman"/>
          <w:sz w:val="24"/>
          <w:szCs w:val="24"/>
        </w:rPr>
        <w:t xml:space="preserve"> for</w:t>
      </w:r>
      <w:r w:rsidR="001B3F35">
        <w:rPr>
          <w:rFonts w:ascii="Times New Roman" w:hAnsi="Times New Roman" w:cs="Times New Roman"/>
          <w:sz w:val="24"/>
          <w:szCs w:val="24"/>
        </w:rPr>
        <w:t>, amongst other things,</w:t>
      </w:r>
      <w:r w:rsidR="005E424D">
        <w:rPr>
          <w:rFonts w:ascii="Times New Roman" w:hAnsi="Times New Roman" w:cs="Times New Roman"/>
          <w:sz w:val="24"/>
          <w:szCs w:val="24"/>
        </w:rPr>
        <w:t xml:space="preserve"> an action she staged in</w:t>
      </w:r>
      <w:r w:rsidR="00875CFE">
        <w:rPr>
          <w:rFonts w:ascii="Times New Roman" w:hAnsi="Times New Roman" w:cs="Times New Roman"/>
          <w:sz w:val="24"/>
          <w:szCs w:val="24"/>
        </w:rPr>
        <w:t xml:space="preserve"> 1998, leaving 67 pairs of stil</w:t>
      </w:r>
      <w:r w:rsidR="005E424D">
        <w:rPr>
          <w:rFonts w:ascii="Times New Roman" w:hAnsi="Times New Roman" w:cs="Times New Roman"/>
          <w:sz w:val="24"/>
          <w:szCs w:val="24"/>
        </w:rPr>
        <w:t>et</w:t>
      </w:r>
      <w:r w:rsidR="00875CFE">
        <w:rPr>
          <w:rFonts w:ascii="Times New Roman" w:hAnsi="Times New Roman" w:cs="Times New Roman"/>
          <w:sz w:val="24"/>
          <w:szCs w:val="24"/>
        </w:rPr>
        <w:t>t</w:t>
      </w:r>
      <w:r w:rsidR="005E424D">
        <w:rPr>
          <w:rFonts w:ascii="Times New Roman" w:hAnsi="Times New Roman" w:cs="Times New Roman"/>
          <w:sz w:val="24"/>
          <w:szCs w:val="24"/>
        </w:rPr>
        <w:t xml:space="preserve">os on the steps of Vancouver City Hall, </w:t>
      </w:r>
      <w:r w:rsidR="005106E7">
        <w:rPr>
          <w:rFonts w:ascii="Times New Roman" w:hAnsi="Times New Roman" w:cs="Times New Roman"/>
          <w:sz w:val="24"/>
          <w:szCs w:val="24"/>
        </w:rPr>
        <w:t>in an attempt to bring attention to missing Indigenous women and sex workers, to an apathetic city.</w:t>
      </w:r>
      <w:r w:rsidR="005106E7">
        <w:rPr>
          <w:rStyle w:val="FootnoteReference"/>
          <w:rFonts w:ascii="Times New Roman" w:hAnsi="Times New Roman" w:cs="Times New Roman"/>
          <w:sz w:val="24"/>
          <w:szCs w:val="24"/>
        </w:rPr>
        <w:footnoteReference w:id="61"/>
      </w:r>
      <w:r w:rsidR="0064507C">
        <w:rPr>
          <w:rFonts w:ascii="Times New Roman" w:hAnsi="Times New Roman" w:cs="Times New Roman"/>
          <w:sz w:val="24"/>
          <w:szCs w:val="24"/>
        </w:rPr>
        <w:t xml:space="preserve">  Her later testimony in front of the Inquiry into Murdered and Missing Indigenous Women and Girls in 2018, showed how the diverse communities of her neighbourhood were seen as disposable</w:t>
      </w:r>
      <w:r w:rsidR="005C21F5">
        <w:rPr>
          <w:rFonts w:ascii="Times New Roman" w:hAnsi="Times New Roman" w:cs="Times New Roman"/>
          <w:sz w:val="24"/>
          <w:szCs w:val="24"/>
        </w:rPr>
        <w:t>; and at the same time “how solidarities between communities happen and how expansive and intersectional activism and advocacy can be</w:t>
      </w:r>
      <w:r w:rsidR="0064507C">
        <w:rPr>
          <w:rFonts w:ascii="Times New Roman" w:hAnsi="Times New Roman" w:cs="Times New Roman"/>
          <w:sz w:val="24"/>
          <w:szCs w:val="24"/>
        </w:rPr>
        <w:t>.</w:t>
      </w:r>
      <w:r w:rsidR="005C21F5">
        <w:rPr>
          <w:rFonts w:ascii="Times New Roman" w:hAnsi="Times New Roman" w:cs="Times New Roman"/>
          <w:sz w:val="24"/>
          <w:szCs w:val="24"/>
        </w:rPr>
        <w:t>”</w:t>
      </w:r>
      <w:r w:rsidR="0064507C">
        <w:rPr>
          <w:rStyle w:val="FootnoteReference"/>
          <w:rFonts w:ascii="Times New Roman" w:hAnsi="Times New Roman" w:cs="Times New Roman"/>
          <w:sz w:val="24"/>
          <w:szCs w:val="24"/>
        </w:rPr>
        <w:footnoteReference w:id="62"/>
      </w:r>
      <w:r w:rsidR="00D81B62">
        <w:rPr>
          <w:rFonts w:ascii="Times New Roman" w:hAnsi="Times New Roman" w:cs="Times New Roman"/>
          <w:sz w:val="24"/>
          <w:szCs w:val="24"/>
        </w:rPr>
        <w:t xml:space="preserve"> </w:t>
      </w:r>
      <w:r w:rsidR="0006088E">
        <w:rPr>
          <w:rFonts w:ascii="Times New Roman" w:hAnsi="Times New Roman" w:cs="Times New Roman"/>
          <w:sz w:val="24"/>
          <w:szCs w:val="24"/>
        </w:rPr>
        <w:t>The work of Jamie Lee Hamilton is an important reminder of the ways that feminist activism is enhanced by trans-inclusive practice.</w:t>
      </w:r>
    </w:p>
    <w:p w14:paraId="4056EBCE" w14:textId="77777777" w:rsidR="005C21F5" w:rsidRDefault="005C21F5" w:rsidP="001603FB">
      <w:pPr>
        <w:spacing w:after="0" w:line="360" w:lineRule="auto"/>
        <w:rPr>
          <w:rFonts w:ascii="Times New Roman" w:hAnsi="Times New Roman" w:cs="Times New Roman"/>
          <w:sz w:val="24"/>
          <w:szCs w:val="24"/>
        </w:rPr>
      </w:pPr>
    </w:p>
    <w:p w14:paraId="61A1022B" w14:textId="1C05F8FA" w:rsidR="005C21F5" w:rsidRPr="001B4559" w:rsidRDefault="001B3F35" w:rsidP="001603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Captured best, at this moment in the Canadian legal landscape, </w:t>
      </w:r>
      <w:r w:rsidR="001959F4">
        <w:rPr>
          <w:rFonts w:ascii="Times New Roman" w:hAnsi="Times New Roman" w:cs="Times New Roman"/>
          <w:sz w:val="24"/>
          <w:szCs w:val="24"/>
        </w:rPr>
        <w:t>in the theme of</w:t>
      </w:r>
      <w:r>
        <w:rPr>
          <w:rFonts w:ascii="Times New Roman" w:hAnsi="Times New Roman" w:cs="Times New Roman"/>
          <w:sz w:val="24"/>
          <w:szCs w:val="24"/>
        </w:rPr>
        <w:t xml:space="preserve"> </w:t>
      </w:r>
      <w:r w:rsidR="001959F4">
        <w:rPr>
          <w:rFonts w:ascii="Times New Roman" w:hAnsi="Times New Roman" w:cs="Times New Roman"/>
          <w:sz w:val="24"/>
          <w:szCs w:val="24"/>
        </w:rPr>
        <w:t>“</w:t>
      </w:r>
      <w:r>
        <w:rPr>
          <w:rFonts w:ascii="Times New Roman" w:hAnsi="Times New Roman" w:cs="Times New Roman"/>
          <w:sz w:val="24"/>
          <w:szCs w:val="24"/>
        </w:rPr>
        <w:t>Access to Justice,</w:t>
      </w:r>
      <w:r w:rsidR="001959F4">
        <w:rPr>
          <w:rFonts w:ascii="Times New Roman" w:hAnsi="Times New Roman" w:cs="Times New Roman"/>
          <w:sz w:val="24"/>
          <w:szCs w:val="24"/>
        </w:rPr>
        <w:t>”</w:t>
      </w:r>
      <w:r>
        <w:rPr>
          <w:rFonts w:ascii="Times New Roman" w:hAnsi="Times New Roman" w:cs="Times New Roman"/>
          <w:sz w:val="24"/>
          <w:szCs w:val="24"/>
        </w:rPr>
        <w:t xml:space="preserve"> this volume</w:t>
      </w:r>
      <w:r w:rsidR="00B7468E">
        <w:rPr>
          <w:rFonts w:ascii="Times New Roman" w:hAnsi="Times New Roman" w:cs="Times New Roman"/>
          <w:sz w:val="24"/>
          <w:szCs w:val="24"/>
        </w:rPr>
        <w:t xml:space="preserve"> is also very effective in setting</w:t>
      </w:r>
      <w:r>
        <w:rPr>
          <w:rFonts w:ascii="Times New Roman" w:hAnsi="Times New Roman" w:cs="Times New Roman"/>
          <w:sz w:val="24"/>
          <w:szCs w:val="24"/>
        </w:rPr>
        <w:t xml:space="preserve"> out numerous legal strategies, ideas, and innovations, to address trans and non-binary peoples as a population in Can</w:t>
      </w:r>
      <w:r w:rsidR="00E879F7">
        <w:rPr>
          <w:rFonts w:ascii="Times New Roman" w:hAnsi="Times New Roman" w:cs="Times New Roman"/>
          <w:sz w:val="24"/>
          <w:szCs w:val="24"/>
        </w:rPr>
        <w:t>ada that experiences systemic barriers to</w:t>
      </w:r>
      <w:r>
        <w:rPr>
          <w:rFonts w:ascii="Times New Roman" w:hAnsi="Times New Roman" w:cs="Times New Roman"/>
          <w:sz w:val="24"/>
          <w:szCs w:val="24"/>
        </w:rPr>
        <w:t xml:space="preserve"> obtaining legal advice and representation.</w:t>
      </w:r>
      <w:r w:rsidR="00B7468E">
        <w:rPr>
          <w:rStyle w:val="FootnoteReference"/>
          <w:rFonts w:ascii="Times New Roman" w:hAnsi="Times New Roman" w:cs="Times New Roman"/>
          <w:sz w:val="24"/>
          <w:szCs w:val="24"/>
        </w:rPr>
        <w:footnoteReference w:id="63"/>
      </w:r>
      <w:r w:rsidR="00B7468E">
        <w:rPr>
          <w:rFonts w:ascii="Times New Roman" w:hAnsi="Times New Roman" w:cs="Times New Roman"/>
          <w:sz w:val="24"/>
          <w:szCs w:val="24"/>
        </w:rPr>
        <w:t xml:space="preserve">  And, in particular, a</w:t>
      </w:r>
      <w:r>
        <w:rPr>
          <w:rFonts w:ascii="Times New Roman" w:hAnsi="Times New Roman" w:cs="Times New Roman"/>
          <w:sz w:val="24"/>
          <w:szCs w:val="24"/>
        </w:rPr>
        <w:t xml:space="preserve">ttention </w:t>
      </w:r>
      <w:r w:rsidR="001959F4">
        <w:rPr>
          <w:rFonts w:ascii="Times New Roman" w:hAnsi="Times New Roman" w:cs="Times New Roman"/>
          <w:sz w:val="24"/>
          <w:szCs w:val="24"/>
        </w:rPr>
        <w:t xml:space="preserve">is given </w:t>
      </w:r>
      <w:r>
        <w:rPr>
          <w:rFonts w:ascii="Times New Roman" w:hAnsi="Times New Roman" w:cs="Times New Roman"/>
          <w:sz w:val="24"/>
          <w:szCs w:val="24"/>
        </w:rPr>
        <w:t>to</w:t>
      </w:r>
      <w:r w:rsidR="003C1E23">
        <w:rPr>
          <w:rFonts w:ascii="Times New Roman" w:hAnsi="Times New Roman" w:cs="Times New Roman"/>
          <w:sz w:val="24"/>
          <w:szCs w:val="24"/>
        </w:rPr>
        <w:t xml:space="preserve"> communities seeking access to justice </w:t>
      </w:r>
      <w:r w:rsidR="00E879F7">
        <w:rPr>
          <w:rFonts w:ascii="Times New Roman" w:hAnsi="Times New Roman" w:cs="Times New Roman"/>
          <w:sz w:val="24"/>
          <w:szCs w:val="24"/>
        </w:rPr>
        <w:t xml:space="preserve">even further </w:t>
      </w:r>
      <w:r w:rsidR="003C1E23">
        <w:rPr>
          <w:rFonts w:ascii="Times New Roman" w:hAnsi="Times New Roman" w:cs="Times New Roman"/>
          <w:sz w:val="24"/>
          <w:szCs w:val="24"/>
        </w:rPr>
        <w:t>at the margins – stories of</w:t>
      </w:r>
      <w:r>
        <w:rPr>
          <w:rFonts w:ascii="Times New Roman" w:hAnsi="Times New Roman" w:cs="Times New Roman"/>
          <w:sz w:val="24"/>
          <w:szCs w:val="24"/>
        </w:rPr>
        <w:t xml:space="preserve"> trans and non-binary peoples in prison</w:t>
      </w:r>
      <w:r w:rsidR="00062C42">
        <w:rPr>
          <w:rFonts w:ascii="Times New Roman" w:hAnsi="Times New Roman" w:cs="Times New Roman"/>
          <w:sz w:val="24"/>
          <w:szCs w:val="24"/>
        </w:rPr>
        <w:t>,</w:t>
      </w:r>
      <w:r w:rsidR="003C1E23">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w:t>
      </w:r>
      <w:r w:rsidR="003C1E23">
        <w:rPr>
          <w:rFonts w:ascii="Times New Roman" w:hAnsi="Times New Roman" w:cs="Times New Roman"/>
          <w:sz w:val="24"/>
          <w:szCs w:val="24"/>
        </w:rPr>
        <w:t xml:space="preserve">trans elders </w:t>
      </w:r>
      <w:r>
        <w:rPr>
          <w:rFonts w:ascii="Times New Roman" w:hAnsi="Times New Roman" w:cs="Times New Roman"/>
          <w:sz w:val="24"/>
          <w:szCs w:val="24"/>
        </w:rPr>
        <w:t>living with dementia</w:t>
      </w:r>
      <w:r w:rsidR="00062C42">
        <w:rPr>
          <w:rFonts w:ascii="Times New Roman" w:hAnsi="Times New Roman" w:cs="Times New Roman"/>
          <w:sz w:val="24"/>
          <w:szCs w:val="24"/>
        </w:rPr>
        <w:t>,</w:t>
      </w:r>
      <w:r w:rsidR="003C1E23">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and </w:t>
      </w:r>
      <w:r w:rsidR="00E879F7">
        <w:rPr>
          <w:rFonts w:ascii="Times New Roman" w:hAnsi="Times New Roman" w:cs="Times New Roman"/>
          <w:sz w:val="24"/>
          <w:szCs w:val="24"/>
        </w:rPr>
        <w:t xml:space="preserve">trans </w:t>
      </w:r>
      <w:r w:rsidR="003C1E23">
        <w:rPr>
          <w:rFonts w:ascii="Times New Roman" w:hAnsi="Times New Roman" w:cs="Times New Roman"/>
          <w:sz w:val="24"/>
          <w:szCs w:val="24"/>
        </w:rPr>
        <w:t xml:space="preserve">youth </w:t>
      </w:r>
      <w:r>
        <w:rPr>
          <w:rFonts w:ascii="Times New Roman" w:hAnsi="Times New Roman" w:cs="Times New Roman"/>
          <w:sz w:val="24"/>
          <w:szCs w:val="24"/>
        </w:rPr>
        <w:t>subjected to conversion therapies</w:t>
      </w:r>
      <w:r w:rsidR="001C76C7">
        <w:rPr>
          <w:rFonts w:ascii="Times New Roman" w:hAnsi="Times New Roman" w:cs="Times New Roman"/>
          <w:sz w:val="24"/>
          <w:szCs w:val="24"/>
        </w:rPr>
        <w:t>.</w:t>
      </w:r>
      <w:r w:rsidR="003C1E23">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w:t>
      </w:r>
      <w:r w:rsidR="001C76C7">
        <w:rPr>
          <w:rFonts w:ascii="Times New Roman" w:hAnsi="Times New Roman" w:cs="Times New Roman"/>
          <w:sz w:val="24"/>
          <w:szCs w:val="24"/>
        </w:rPr>
        <w:t>F</w:t>
      </w:r>
      <w:r>
        <w:rPr>
          <w:rFonts w:ascii="Times New Roman" w:hAnsi="Times New Roman" w:cs="Times New Roman"/>
          <w:sz w:val="24"/>
          <w:szCs w:val="24"/>
        </w:rPr>
        <w:t>or example. William H</w:t>
      </w:r>
      <w:r w:rsidR="003C1E23">
        <w:rPr>
          <w:rFonts w:ascii="Times New Roman" w:hAnsi="Times New Roman" w:cs="Times New Roman"/>
          <w:sz w:val="24"/>
          <w:szCs w:val="24"/>
        </w:rPr>
        <w:t>ébert’s contribution looks carefully at policies put in place in federal prisons in Canada in response to Bill C-16,</w:t>
      </w:r>
      <w:r w:rsidR="00E879F7">
        <w:rPr>
          <w:rFonts w:ascii="Times New Roman" w:hAnsi="Times New Roman" w:cs="Times New Roman"/>
          <w:sz w:val="24"/>
          <w:szCs w:val="24"/>
        </w:rPr>
        <w:t xml:space="preserve"> progressive initiatives aimed at assessing trans prisoners’ accommodation through the development of individualized protocols.</w:t>
      </w:r>
      <w:r w:rsidR="00E879F7">
        <w:rPr>
          <w:rStyle w:val="FootnoteReference"/>
          <w:rFonts w:ascii="Times New Roman" w:hAnsi="Times New Roman" w:cs="Times New Roman"/>
          <w:sz w:val="24"/>
          <w:szCs w:val="24"/>
        </w:rPr>
        <w:footnoteReference w:id="67"/>
      </w:r>
      <w:r w:rsidR="001F3084">
        <w:rPr>
          <w:rFonts w:ascii="Times New Roman" w:hAnsi="Times New Roman" w:cs="Times New Roman"/>
          <w:sz w:val="24"/>
          <w:szCs w:val="24"/>
        </w:rPr>
        <w:t xml:space="preserve">  His examination makes evident</w:t>
      </w:r>
      <w:r w:rsidR="001B4559">
        <w:rPr>
          <w:rFonts w:ascii="Times New Roman" w:hAnsi="Times New Roman" w:cs="Times New Roman"/>
          <w:sz w:val="24"/>
          <w:szCs w:val="24"/>
        </w:rPr>
        <w:t xml:space="preserve"> that the new policy did not radically change </w:t>
      </w:r>
      <w:r w:rsidR="001959F4">
        <w:rPr>
          <w:rFonts w:ascii="Times New Roman" w:hAnsi="Times New Roman" w:cs="Times New Roman"/>
          <w:sz w:val="24"/>
          <w:szCs w:val="24"/>
        </w:rPr>
        <w:t xml:space="preserve">the fact </w:t>
      </w:r>
      <w:r w:rsidR="001B4559">
        <w:rPr>
          <w:rFonts w:ascii="Times New Roman" w:hAnsi="Times New Roman" w:cs="Times New Roman"/>
          <w:sz w:val="24"/>
          <w:szCs w:val="24"/>
        </w:rPr>
        <w:t xml:space="preserve">that prisons </w:t>
      </w:r>
      <w:r w:rsidR="001B4559">
        <w:rPr>
          <w:rFonts w:ascii="Times New Roman" w:hAnsi="Times New Roman" w:cs="Times New Roman"/>
          <w:sz w:val="24"/>
          <w:szCs w:val="24"/>
        </w:rPr>
        <w:lastRenderedPageBreak/>
        <w:t>are fundamentally not safe places for trans prisoners</w:t>
      </w:r>
      <w:r w:rsidR="001959F4">
        <w:rPr>
          <w:rFonts w:ascii="Times New Roman" w:hAnsi="Times New Roman" w:cs="Times New Roman"/>
          <w:sz w:val="24"/>
          <w:szCs w:val="24"/>
        </w:rPr>
        <w:t>, nor indeed anyone</w:t>
      </w:r>
      <w:r w:rsidR="001B4559">
        <w:rPr>
          <w:rFonts w:ascii="Times New Roman" w:hAnsi="Times New Roman" w:cs="Times New Roman"/>
          <w:sz w:val="24"/>
          <w:szCs w:val="24"/>
        </w:rPr>
        <w:t>.</w:t>
      </w:r>
      <w:r w:rsidR="001B4559">
        <w:rPr>
          <w:rStyle w:val="FootnoteReference"/>
          <w:rFonts w:ascii="Times New Roman" w:hAnsi="Times New Roman" w:cs="Times New Roman"/>
          <w:sz w:val="24"/>
          <w:szCs w:val="24"/>
        </w:rPr>
        <w:footnoteReference w:id="68"/>
      </w:r>
      <w:r w:rsidR="001B4559">
        <w:rPr>
          <w:rFonts w:ascii="Times New Roman" w:hAnsi="Times New Roman" w:cs="Times New Roman"/>
          <w:sz w:val="24"/>
          <w:szCs w:val="24"/>
        </w:rPr>
        <w:t xml:space="preserve"> The twin driving principles of the new poli</w:t>
      </w:r>
      <w:r w:rsidR="001B4559" w:rsidRPr="001B4559">
        <w:rPr>
          <w:rFonts w:ascii="Times New Roman" w:hAnsi="Times New Roman" w:cs="Times New Roman"/>
          <w:sz w:val="24"/>
          <w:szCs w:val="24"/>
        </w:rPr>
        <w:t>cies included a commitment to ensuring a safe, inclusive and respectful environment with the duty to accommodate on the basis of gender expression and gender identity.</w:t>
      </w:r>
      <w:r w:rsidR="001B4559" w:rsidRPr="001B4559">
        <w:rPr>
          <w:rStyle w:val="FootnoteReference"/>
          <w:rFonts w:ascii="Times New Roman" w:hAnsi="Times New Roman" w:cs="Times New Roman"/>
          <w:sz w:val="24"/>
          <w:szCs w:val="24"/>
        </w:rPr>
        <w:footnoteReference w:id="69"/>
      </w:r>
      <w:r w:rsidR="001B4559" w:rsidRPr="001B4559">
        <w:rPr>
          <w:rFonts w:ascii="Times New Roman" w:hAnsi="Times New Roman" w:cs="Times New Roman"/>
          <w:sz w:val="24"/>
          <w:szCs w:val="24"/>
        </w:rPr>
        <w:t xml:space="preserve">  The outcome however was that the rights ideal sat quite uncomfortably for admin</w:t>
      </w:r>
      <w:r w:rsidR="002C30E8">
        <w:rPr>
          <w:rFonts w:ascii="Times New Roman" w:hAnsi="Times New Roman" w:cs="Times New Roman"/>
          <w:sz w:val="24"/>
          <w:szCs w:val="24"/>
        </w:rPr>
        <w:t>i</w:t>
      </w:r>
      <w:r w:rsidR="001B4559" w:rsidRPr="001B4559">
        <w:rPr>
          <w:rFonts w:ascii="Times New Roman" w:hAnsi="Times New Roman" w:cs="Times New Roman"/>
          <w:sz w:val="24"/>
          <w:szCs w:val="24"/>
        </w:rPr>
        <w:t>strators, staff and prisoners, in a gendered context of risks.  Hébert argues that in “everyday encounters, the truth of people’s sex is not determined by their genitalia, bu</w:t>
      </w:r>
      <w:r w:rsidR="001B4559">
        <w:rPr>
          <w:rFonts w:ascii="Times New Roman" w:hAnsi="Times New Roman" w:cs="Times New Roman"/>
          <w:sz w:val="24"/>
          <w:szCs w:val="24"/>
        </w:rPr>
        <w:t>t through a process of intersubje</w:t>
      </w:r>
      <w:r w:rsidR="001B4559" w:rsidRPr="001B4559">
        <w:rPr>
          <w:rFonts w:ascii="Times New Roman" w:hAnsi="Times New Roman" w:cs="Times New Roman"/>
          <w:sz w:val="24"/>
          <w:szCs w:val="24"/>
        </w:rPr>
        <w:t>ctiv</w:t>
      </w:r>
      <w:r w:rsidR="00A11BC1">
        <w:rPr>
          <w:rFonts w:ascii="Times New Roman" w:hAnsi="Times New Roman" w:cs="Times New Roman"/>
          <w:sz w:val="24"/>
          <w:szCs w:val="24"/>
        </w:rPr>
        <w:t>e social recognition contingent</w:t>
      </w:r>
      <w:r w:rsidR="001B4559" w:rsidRPr="001B4559">
        <w:rPr>
          <w:rFonts w:ascii="Times New Roman" w:hAnsi="Times New Roman" w:cs="Times New Roman"/>
          <w:sz w:val="24"/>
          <w:szCs w:val="24"/>
        </w:rPr>
        <w:t xml:space="preserve"> upon their capacity to achieve the normative look expected for their identity – a look </w:t>
      </w:r>
      <w:r w:rsidR="001B4559">
        <w:rPr>
          <w:rFonts w:ascii="Times New Roman" w:hAnsi="Times New Roman" w:cs="Times New Roman"/>
          <w:sz w:val="24"/>
          <w:szCs w:val="24"/>
        </w:rPr>
        <w:t>that requires a harmonious alig</w:t>
      </w:r>
      <w:r w:rsidR="001B4559" w:rsidRPr="001B4559">
        <w:rPr>
          <w:rFonts w:ascii="Times New Roman" w:hAnsi="Times New Roman" w:cs="Times New Roman"/>
          <w:sz w:val="24"/>
          <w:szCs w:val="24"/>
        </w:rPr>
        <w:t xml:space="preserve">nment between physical appearance </w:t>
      </w:r>
      <w:r w:rsidR="001B4559">
        <w:rPr>
          <w:rFonts w:ascii="Times New Roman" w:hAnsi="Times New Roman" w:cs="Times New Roman"/>
          <w:sz w:val="24"/>
          <w:szCs w:val="24"/>
        </w:rPr>
        <w:t>and embo</w:t>
      </w:r>
      <w:r w:rsidR="001B4559" w:rsidRPr="001B4559">
        <w:rPr>
          <w:rFonts w:ascii="Times New Roman" w:hAnsi="Times New Roman" w:cs="Times New Roman"/>
          <w:sz w:val="24"/>
          <w:szCs w:val="24"/>
        </w:rPr>
        <w:t>d</w:t>
      </w:r>
      <w:r w:rsidR="001B4559">
        <w:rPr>
          <w:rFonts w:ascii="Times New Roman" w:hAnsi="Times New Roman" w:cs="Times New Roman"/>
          <w:sz w:val="24"/>
          <w:szCs w:val="24"/>
        </w:rPr>
        <w:t>i</w:t>
      </w:r>
      <w:r w:rsidR="001B4559" w:rsidRPr="001B4559">
        <w:rPr>
          <w:rFonts w:ascii="Times New Roman" w:hAnsi="Times New Roman" w:cs="Times New Roman"/>
          <w:sz w:val="24"/>
          <w:szCs w:val="24"/>
        </w:rPr>
        <w:t>ed gendered performance.”</w:t>
      </w:r>
      <w:r w:rsidR="001B4559">
        <w:rPr>
          <w:rStyle w:val="FootnoteReference"/>
          <w:rFonts w:ascii="Times New Roman" w:hAnsi="Times New Roman" w:cs="Times New Roman"/>
          <w:sz w:val="24"/>
          <w:szCs w:val="24"/>
        </w:rPr>
        <w:footnoteReference w:id="70"/>
      </w:r>
      <w:r w:rsidR="002C30E8">
        <w:rPr>
          <w:rFonts w:ascii="Times New Roman" w:hAnsi="Times New Roman" w:cs="Times New Roman"/>
          <w:sz w:val="24"/>
          <w:szCs w:val="24"/>
        </w:rPr>
        <w:t xml:space="preserve"> The special treatment of the post</w:t>
      </w:r>
      <w:r w:rsidR="005027C9">
        <w:rPr>
          <w:rFonts w:ascii="Times New Roman" w:hAnsi="Times New Roman" w:cs="Times New Roman"/>
          <w:sz w:val="24"/>
          <w:szCs w:val="24"/>
        </w:rPr>
        <w:t>-</w:t>
      </w:r>
      <w:r w:rsidR="002C30E8">
        <w:rPr>
          <w:rFonts w:ascii="Times New Roman" w:hAnsi="Times New Roman" w:cs="Times New Roman"/>
          <w:sz w:val="24"/>
          <w:szCs w:val="24"/>
        </w:rPr>
        <w:t>Bill C-16 policies had the unintend</w:t>
      </w:r>
      <w:r w:rsidR="00A11BC1">
        <w:rPr>
          <w:rFonts w:ascii="Times New Roman" w:hAnsi="Times New Roman" w:cs="Times New Roman"/>
          <w:sz w:val="24"/>
          <w:szCs w:val="24"/>
        </w:rPr>
        <w:t>ed consequence, according to trans interviewees and staff, of bringing with it more intensive scrutiny and surveillance, situations of attenuated risk.</w:t>
      </w:r>
      <w:r w:rsidR="00A11BC1">
        <w:rPr>
          <w:rStyle w:val="FootnoteReference"/>
          <w:rFonts w:ascii="Times New Roman" w:hAnsi="Times New Roman" w:cs="Times New Roman"/>
          <w:sz w:val="24"/>
          <w:szCs w:val="24"/>
        </w:rPr>
        <w:footnoteReference w:id="71"/>
      </w:r>
    </w:p>
    <w:p w14:paraId="78DD1EA2" w14:textId="77777777" w:rsidR="008C354B" w:rsidRDefault="008C354B" w:rsidP="001603FB">
      <w:pPr>
        <w:spacing w:after="0" w:line="360" w:lineRule="auto"/>
        <w:rPr>
          <w:rFonts w:ascii="Times New Roman" w:hAnsi="Times New Roman" w:cs="Times New Roman"/>
          <w:sz w:val="24"/>
          <w:szCs w:val="24"/>
        </w:rPr>
      </w:pPr>
    </w:p>
    <w:p w14:paraId="55ED2616" w14:textId="6D912935" w:rsidR="002C30E8" w:rsidRDefault="002C30E8" w:rsidP="001603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Similarly, attention to accommodating the needs of trans people living with dementia (TPLWD) </w:t>
      </w:r>
      <w:r w:rsidR="00FB3FF1">
        <w:rPr>
          <w:rFonts w:ascii="Times New Roman" w:hAnsi="Times New Roman" w:cs="Times New Roman"/>
          <w:sz w:val="24"/>
          <w:szCs w:val="24"/>
        </w:rPr>
        <w:t xml:space="preserve">can </w:t>
      </w:r>
      <w:r>
        <w:rPr>
          <w:rFonts w:ascii="Times New Roman" w:hAnsi="Times New Roman" w:cs="Times New Roman"/>
          <w:sz w:val="24"/>
          <w:szCs w:val="24"/>
        </w:rPr>
        <w:t xml:space="preserve">also lead to unanticipated consequences.  In the </w:t>
      </w:r>
      <w:proofErr w:type="spellStart"/>
      <w:r>
        <w:rPr>
          <w:rFonts w:ascii="Times New Roman" w:hAnsi="Times New Roman" w:cs="Times New Roman"/>
          <w:sz w:val="24"/>
          <w:szCs w:val="24"/>
        </w:rPr>
        <w:t>Baril</w:t>
      </w:r>
      <w:proofErr w:type="spellEnd"/>
      <w:r>
        <w:rPr>
          <w:rFonts w:ascii="Times New Roman" w:hAnsi="Times New Roman" w:cs="Times New Roman"/>
          <w:sz w:val="24"/>
          <w:szCs w:val="24"/>
        </w:rPr>
        <w:t>, Silverman, Gauthier and Lévesque study, the issue of TPLWD losing their capacity to instruct their chosen, substitute decision-maker about</w:t>
      </w:r>
      <w:r w:rsidR="00E20C90">
        <w:rPr>
          <w:rFonts w:ascii="Times New Roman" w:hAnsi="Times New Roman" w:cs="Times New Roman"/>
          <w:sz w:val="24"/>
          <w:szCs w:val="24"/>
        </w:rPr>
        <w:t xml:space="preserve"> their end-of-life care </w:t>
      </w:r>
      <w:r>
        <w:rPr>
          <w:rFonts w:ascii="Times New Roman" w:hAnsi="Times New Roman" w:cs="Times New Roman"/>
          <w:sz w:val="24"/>
          <w:szCs w:val="24"/>
        </w:rPr>
        <w:t>was guided by two unproblematized assumptions, that gender expression and gender identity are stable concepts; and that the self pre-dementia is better suited to making decisions than the self experiencing dementia.</w:t>
      </w:r>
      <w:r>
        <w:rPr>
          <w:rStyle w:val="FootnoteReference"/>
          <w:rFonts w:ascii="Times New Roman" w:hAnsi="Times New Roman" w:cs="Times New Roman"/>
          <w:sz w:val="24"/>
          <w:szCs w:val="24"/>
        </w:rPr>
        <w:footnoteReference w:id="72"/>
      </w:r>
      <w:r>
        <w:rPr>
          <w:rFonts w:ascii="Times New Roman" w:hAnsi="Times New Roman" w:cs="Times New Roman"/>
          <w:sz w:val="24"/>
          <w:szCs w:val="24"/>
        </w:rPr>
        <w:t xml:space="preserve">  Yet, by paying attention to the harms of cisnormativity and cognonormativity</w:t>
      </w:r>
      <w:r w:rsidR="00903BA2">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the authors are able to make visible the potential violence of leaving the assumptions unchallenged.</w:t>
      </w:r>
      <w:r w:rsidR="00945001">
        <w:rPr>
          <w:rFonts w:ascii="Times New Roman" w:hAnsi="Times New Roman" w:cs="Times New Roman"/>
          <w:sz w:val="24"/>
          <w:szCs w:val="24"/>
        </w:rPr>
        <w:t xml:space="preserve">  Freezing the gender of a person at the moment of dementia risks also freezing the notion that people adhere to a stable gender identity throughout their life.</w:t>
      </w:r>
      <w:r w:rsidR="00945001">
        <w:rPr>
          <w:rStyle w:val="FootnoteReference"/>
          <w:rFonts w:ascii="Times New Roman" w:hAnsi="Times New Roman" w:cs="Times New Roman"/>
          <w:sz w:val="24"/>
          <w:szCs w:val="24"/>
        </w:rPr>
        <w:footnoteReference w:id="74"/>
      </w:r>
      <w:r w:rsidR="00945001">
        <w:rPr>
          <w:rFonts w:ascii="Times New Roman" w:hAnsi="Times New Roman" w:cs="Times New Roman"/>
          <w:sz w:val="24"/>
          <w:szCs w:val="24"/>
        </w:rPr>
        <w:t xml:space="preserve"> And coming to the conclusion that people with cognitive disabilities are </w:t>
      </w:r>
      <w:r w:rsidR="00945001">
        <w:rPr>
          <w:rFonts w:ascii="Times New Roman" w:hAnsi="Times New Roman" w:cs="Times New Roman"/>
          <w:sz w:val="24"/>
          <w:szCs w:val="24"/>
        </w:rPr>
        <w:lastRenderedPageBreak/>
        <w:t>unable to make choices, devalues all people living with dementia.</w:t>
      </w:r>
      <w:r w:rsidR="00945001">
        <w:rPr>
          <w:rStyle w:val="FootnoteReference"/>
          <w:rFonts w:ascii="Times New Roman" w:hAnsi="Times New Roman" w:cs="Times New Roman"/>
          <w:sz w:val="24"/>
          <w:szCs w:val="24"/>
        </w:rPr>
        <w:footnoteReference w:id="75"/>
      </w:r>
      <w:r w:rsidR="00E20C90">
        <w:rPr>
          <w:rFonts w:ascii="Times New Roman" w:hAnsi="Times New Roman" w:cs="Times New Roman"/>
          <w:sz w:val="24"/>
          <w:szCs w:val="24"/>
        </w:rPr>
        <w:t xml:space="preserve"> In quite a subversive and</w:t>
      </w:r>
      <w:r w:rsidR="00945001">
        <w:rPr>
          <w:rFonts w:ascii="Times New Roman" w:hAnsi="Times New Roman" w:cs="Times New Roman"/>
          <w:sz w:val="24"/>
          <w:szCs w:val="24"/>
        </w:rPr>
        <w:t xml:space="preserve"> supportive argument, the authors are able to centre trans people with dementia and their voices, ensuring an environment w</w:t>
      </w:r>
      <w:r w:rsidR="005027C9">
        <w:rPr>
          <w:rFonts w:ascii="Times New Roman" w:hAnsi="Times New Roman" w:cs="Times New Roman"/>
          <w:sz w:val="24"/>
          <w:szCs w:val="24"/>
        </w:rPr>
        <w:t>h</w:t>
      </w:r>
      <w:r w:rsidR="00945001">
        <w:rPr>
          <w:rFonts w:ascii="Times New Roman" w:hAnsi="Times New Roman" w:cs="Times New Roman"/>
          <w:sz w:val="24"/>
          <w:szCs w:val="24"/>
        </w:rPr>
        <w:t>ere all sorts of gender expression are valued, and that pays attention to the multiplicity of ways that people with cognitive disabilities might express their choices for their care.</w:t>
      </w:r>
      <w:r w:rsidR="00945001">
        <w:rPr>
          <w:rStyle w:val="FootnoteReference"/>
          <w:rFonts w:ascii="Times New Roman" w:hAnsi="Times New Roman" w:cs="Times New Roman"/>
          <w:sz w:val="24"/>
          <w:szCs w:val="24"/>
        </w:rPr>
        <w:footnoteReference w:id="76"/>
      </w:r>
    </w:p>
    <w:p w14:paraId="05DAEFF0" w14:textId="77777777" w:rsidR="00945001" w:rsidRDefault="00945001" w:rsidP="001603FB">
      <w:pPr>
        <w:spacing w:after="0" w:line="360" w:lineRule="auto"/>
        <w:rPr>
          <w:rFonts w:ascii="Times New Roman" w:hAnsi="Times New Roman" w:cs="Times New Roman"/>
          <w:sz w:val="24"/>
          <w:szCs w:val="24"/>
        </w:rPr>
      </w:pPr>
    </w:p>
    <w:p w14:paraId="3B338AC7" w14:textId="56DDB6E7" w:rsidR="00F65457" w:rsidRDefault="00F65457" w:rsidP="001603FB">
      <w:pPr>
        <w:spacing w:after="0" w:line="360" w:lineRule="auto"/>
        <w:rPr>
          <w:rFonts w:ascii="Times New Roman" w:hAnsi="Times New Roman" w:cs="Times New Roman"/>
          <w:sz w:val="24"/>
          <w:szCs w:val="24"/>
        </w:rPr>
      </w:pPr>
      <w:r>
        <w:rPr>
          <w:rFonts w:ascii="Times New Roman" w:hAnsi="Times New Roman" w:cs="Times New Roman"/>
          <w:sz w:val="24"/>
          <w:szCs w:val="24"/>
        </w:rPr>
        <w:t>There is poignancy in sitting with the trans legal narrative of an elder with dementia, who forgets every now and then that they transitioned 40 years earlier.  We</w:t>
      </w:r>
      <w:r w:rsidR="00EC6018">
        <w:rPr>
          <w:rFonts w:ascii="Times New Roman" w:hAnsi="Times New Roman" w:cs="Times New Roman"/>
          <w:sz w:val="24"/>
          <w:szCs w:val="24"/>
        </w:rPr>
        <w:t xml:space="preserve"> readers</w:t>
      </w:r>
      <w:r>
        <w:rPr>
          <w:rFonts w:ascii="Times New Roman" w:hAnsi="Times New Roman" w:cs="Times New Roman"/>
          <w:sz w:val="24"/>
          <w:szCs w:val="24"/>
        </w:rPr>
        <w:t xml:space="preserve"> are asked by these authors to pause and understand</w:t>
      </w:r>
      <w:r w:rsidR="00E20C90">
        <w:rPr>
          <w:rFonts w:ascii="Times New Roman" w:hAnsi="Times New Roman" w:cs="Times New Roman"/>
          <w:sz w:val="24"/>
          <w:szCs w:val="24"/>
        </w:rPr>
        <w:t xml:space="preserve"> in an</w:t>
      </w:r>
      <w:r w:rsidR="00812AEE">
        <w:rPr>
          <w:rFonts w:ascii="Times New Roman" w:hAnsi="Times New Roman" w:cs="Times New Roman"/>
          <w:sz w:val="24"/>
          <w:szCs w:val="24"/>
        </w:rPr>
        <w:t xml:space="preserve"> unsettling</w:t>
      </w:r>
      <w:r w:rsidR="00E20C90">
        <w:rPr>
          <w:rFonts w:ascii="Times New Roman" w:hAnsi="Times New Roman" w:cs="Times New Roman"/>
          <w:sz w:val="24"/>
          <w:szCs w:val="24"/>
        </w:rPr>
        <w:t xml:space="preserve"> way</w:t>
      </w:r>
      <w:r>
        <w:rPr>
          <w:rFonts w:ascii="Times New Roman" w:hAnsi="Times New Roman" w:cs="Times New Roman"/>
          <w:sz w:val="24"/>
          <w:szCs w:val="24"/>
        </w:rPr>
        <w:t xml:space="preserve"> what normativity in these every day m</w:t>
      </w:r>
      <w:r w:rsidR="00E20C90">
        <w:rPr>
          <w:rFonts w:ascii="Times New Roman" w:hAnsi="Times New Roman" w:cs="Times New Roman"/>
          <w:sz w:val="24"/>
          <w:szCs w:val="24"/>
        </w:rPr>
        <w:t>oments demands. I</w:t>
      </w:r>
      <w:r>
        <w:rPr>
          <w:rFonts w:ascii="Times New Roman" w:hAnsi="Times New Roman" w:cs="Times New Roman"/>
          <w:sz w:val="24"/>
          <w:szCs w:val="24"/>
        </w:rPr>
        <w:t>s the violence in being denied c</w:t>
      </w:r>
      <w:r w:rsidR="00E20C90">
        <w:rPr>
          <w:rFonts w:ascii="Times New Roman" w:hAnsi="Times New Roman" w:cs="Times New Roman"/>
          <w:sz w:val="24"/>
          <w:szCs w:val="24"/>
        </w:rPr>
        <w:t xml:space="preserve">hosen pronoun use on those </w:t>
      </w:r>
      <w:r>
        <w:rPr>
          <w:rFonts w:ascii="Times New Roman" w:hAnsi="Times New Roman" w:cs="Times New Roman"/>
          <w:sz w:val="24"/>
          <w:szCs w:val="24"/>
        </w:rPr>
        <w:t>days</w:t>
      </w:r>
      <w:r w:rsidR="00E20C90">
        <w:rPr>
          <w:rFonts w:ascii="Times New Roman" w:hAnsi="Times New Roman" w:cs="Times New Roman"/>
          <w:sz w:val="24"/>
          <w:szCs w:val="24"/>
        </w:rPr>
        <w:t xml:space="preserve"> of fluctuating cognition</w:t>
      </w:r>
      <w:r>
        <w:rPr>
          <w:rFonts w:ascii="Times New Roman" w:hAnsi="Times New Roman" w:cs="Times New Roman"/>
          <w:sz w:val="24"/>
          <w:szCs w:val="24"/>
        </w:rPr>
        <w:t>, or is the violence in not respecting the stable gender identity lived before dementia?</w:t>
      </w:r>
    </w:p>
    <w:p w14:paraId="435FBDCC" w14:textId="77777777" w:rsidR="00F65457" w:rsidRDefault="00F65457" w:rsidP="001603FB">
      <w:pPr>
        <w:spacing w:after="0" w:line="360" w:lineRule="auto"/>
        <w:rPr>
          <w:rFonts w:ascii="Times New Roman" w:hAnsi="Times New Roman" w:cs="Times New Roman"/>
          <w:sz w:val="24"/>
          <w:szCs w:val="24"/>
        </w:rPr>
      </w:pPr>
    </w:p>
    <w:p w14:paraId="4B011C37" w14:textId="35CBF3BC" w:rsidR="00F65457" w:rsidRDefault="00945001" w:rsidP="001603FB">
      <w:pPr>
        <w:spacing w:after="0" w:line="360" w:lineRule="auto"/>
        <w:rPr>
          <w:rFonts w:ascii="Times New Roman" w:hAnsi="Times New Roman" w:cs="Times New Roman"/>
          <w:sz w:val="24"/>
          <w:szCs w:val="24"/>
        </w:rPr>
      </w:pPr>
      <w:r>
        <w:rPr>
          <w:rFonts w:ascii="Times New Roman" w:hAnsi="Times New Roman" w:cs="Times New Roman"/>
          <w:sz w:val="24"/>
          <w:szCs w:val="24"/>
        </w:rPr>
        <w:t>This same argument, that “people with disabilities of all ages have a history of being pathologized and denied voice and choice when it comes to decisions regarding health, housing, sexuality and so forth”</w:t>
      </w:r>
      <w:r>
        <w:rPr>
          <w:rStyle w:val="FootnoteReference"/>
          <w:rFonts w:ascii="Times New Roman" w:hAnsi="Times New Roman" w:cs="Times New Roman"/>
          <w:sz w:val="24"/>
          <w:szCs w:val="24"/>
        </w:rPr>
        <w:footnoteReference w:id="77"/>
      </w:r>
      <w:r>
        <w:rPr>
          <w:rFonts w:ascii="Times New Roman" w:hAnsi="Times New Roman" w:cs="Times New Roman"/>
          <w:sz w:val="24"/>
          <w:szCs w:val="24"/>
        </w:rPr>
        <w:t xml:space="preserve"> holds true for both trans people living with dementia, and trans youth who were subject to a Lovaas study at UCLA in the 1960s and 1970s.</w:t>
      </w:r>
      <w:r>
        <w:rPr>
          <w:rStyle w:val="FootnoteReference"/>
          <w:rFonts w:ascii="Times New Roman" w:hAnsi="Times New Roman" w:cs="Times New Roman"/>
          <w:sz w:val="24"/>
          <w:szCs w:val="24"/>
        </w:rPr>
        <w:footnoteReference w:id="78"/>
      </w:r>
      <w:r>
        <w:rPr>
          <w:rFonts w:ascii="Times New Roman" w:hAnsi="Times New Roman" w:cs="Times New Roman"/>
          <w:sz w:val="24"/>
          <w:szCs w:val="24"/>
        </w:rPr>
        <w:t xml:space="preserve">  </w:t>
      </w:r>
      <w:r w:rsidR="00EA719C">
        <w:rPr>
          <w:rFonts w:ascii="Times New Roman" w:hAnsi="Times New Roman" w:cs="Times New Roman"/>
          <w:sz w:val="24"/>
          <w:szCs w:val="24"/>
        </w:rPr>
        <w:t xml:space="preserve">In June of 2015 Ontario </w:t>
      </w:r>
      <w:r w:rsidR="00E20C90">
        <w:rPr>
          <w:rFonts w:ascii="Times New Roman" w:hAnsi="Times New Roman" w:cs="Times New Roman"/>
          <w:sz w:val="24"/>
          <w:szCs w:val="24"/>
        </w:rPr>
        <w:t xml:space="preserve">passed </w:t>
      </w:r>
      <w:r w:rsidR="00EA719C">
        <w:rPr>
          <w:rFonts w:ascii="Times New Roman" w:hAnsi="Times New Roman" w:cs="Times New Roman"/>
          <w:sz w:val="24"/>
          <w:szCs w:val="24"/>
        </w:rPr>
        <w:t>Bill 77, designed to ensure the protection and rights of Ontario’s lesbian, gay, bisexual and transgender communities by banning conversion therapy.</w:t>
      </w:r>
      <w:r w:rsidR="00EA719C">
        <w:rPr>
          <w:rStyle w:val="FootnoteReference"/>
          <w:rFonts w:ascii="Times New Roman" w:hAnsi="Times New Roman" w:cs="Times New Roman"/>
          <w:sz w:val="24"/>
          <w:szCs w:val="24"/>
        </w:rPr>
        <w:footnoteReference w:id="79"/>
      </w:r>
      <w:r w:rsidR="00EA719C">
        <w:rPr>
          <w:rFonts w:ascii="Times New Roman" w:hAnsi="Times New Roman" w:cs="Times New Roman"/>
          <w:sz w:val="24"/>
          <w:szCs w:val="24"/>
        </w:rPr>
        <w:t xml:space="preserve"> This trans depathologization</w:t>
      </w:r>
      <w:r w:rsidR="00E20C90">
        <w:rPr>
          <w:rStyle w:val="FootnoteReference"/>
          <w:rFonts w:ascii="Times New Roman" w:hAnsi="Times New Roman" w:cs="Times New Roman"/>
          <w:sz w:val="24"/>
          <w:szCs w:val="24"/>
        </w:rPr>
        <w:footnoteReference w:id="80"/>
      </w:r>
      <w:r w:rsidR="00EA719C">
        <w:rPr>
          <w:rFonts w:ascii="Times New Roman" w:hAnsi="Times New Roman" w:cs="Times New Roman"/>
          <w:sz w:val="24"/>
          <w:szCs w:val="24"/>
        </w:rPr>
        <w:t xml:space="preserve"> is without question, an important and necessary good, but what it opens up for interrogation is how, as Jake </w:t>
      </w:r>
      <w:proofErr w:type="spellStart"/>
      <w:r w:rsidR="00EA719C">
        <w:rPr>
          <w:rFonts w:ascii="Times New Roman" w:hAnsi="Times New Roman" w:cs="Times New Roman"/>
          <w:sz w:val="24"/>
          <w:szCs w:val="24"/>
        </w:rPr>
        <w:t>Pyne</w:t>
      </w:r>
      <w:proofErr w:type="spellEnd"/>
      <w:r w:rsidR="00EA719C">
        <w:rPr>
          <w:rFonts w:ascii="Times New Roman" w:hAnsi="Times New Roman" w:cs="Times New Roman"/>
          <w:sz w:val="24"/>
          <w:szCs w:val="24"/>
        </w:rPr>
        <w:t xml:space="preserve"> argues, “the affirmation of personhood for some can rely on the disaffirmation of others.”</w:t>
      </w:r>
      <w:r w:rsidR="00EA719C">
        <w:rPr>
          <w:rStyle w:val="FootnoteReference"/>
          <w:rFonts w:ascii="Times New Roman" w:hAnsi="Times New Roman" w:cs="Times New Roman"/>
          <w:sz w:val="24"/>
          <w:szCs w:val="24"/>
        </w:rPr>
        <w:footnoteReference w:id="81"/>
      </w:r>
      <w:r w:rsidR="00EA719C">
        <w:rPr>
          <w:rFonts w:ascii="Times New Roman" w:hAnsi="Times New Roman" w:cs="Times New Roman"/>
          <w:sz w:val="24"/>
          <w:szCs w:val="24"/>
        </w:rPr>
        <w:t xml:space="preserve">  The protections from harm in this </w:t>
      </w:r>
      <w:r w:rsidR="001C76C7">
        <w:rPr>
          <w:rFonts w:ascii="Times New Roman" w:hAnsi="Times New Roman" w:cs="Times New Roman"/>
          <w:sz w:val="24"/>
          <w:szCs w:val="24"/>
        </w:rPr>
        <w:t>Bill</w:t>
      </w:r>
      <w:r w:rsidR="00115C37">
        <w:rPr>
          <w:rFonts w:ascii="Times New Roman" w:hAnsi="Times New Roman" w:cs="Times New Roman"/>
          <w:sz w:val="24"/>
          <w:szCs w:val="24"/>
        </w:rPr>
        <w:t>, designed</w:t>
      </w:r>
      <w:r w:rsidR="00EA719C">
        <w:rPr>
          <w:rFonts w:ascii="Times New Roman" w:hAnsi="Times New Roman" w:cs="Times New Roman"/>
          <w:sz w:val="24"/>
          <w:szCs w:val="24"/>
        </w:rPr>
        <w:t xml:space="preserve"> to protect trans youth, do not extend to autistic trans youth, prompting questions on both the role that ableism plays in trans identity and personhood claims, and at whose expense a “right-bearing trans person has been built.”</w:t>
      </w:r>
      <w:r w:rsidR="00EA719C">
        <w:rPr>
          <w:rStyle w:val="FootnoteReference"/>
          <w:rFonts w:ascii="Times New Roman" w:hAnsi="Times New Roman" w:cs="Times New Roman"/>
          <w:sz w:val="24"/>
          <w:szCs w:val="24"/>
        </w:rPr>
        <w:footnoteReference w:id="82"/>
      </w:r>
      <w:r w:rsidR="00EA719C">
        <w:rPr>
          <w:rFonts w:ascii="Times New Roman" w:hAnsi="Times New Roman" w:cs="Times New Roman"/>
          <w:sz w:val="24"/>
          <w:szCs w:val="24"/>
        </w:rPr>
        <w:t xml:space="preserve"> </w:t>
      </w:r>
      <w:r w:rsidR="00EA719C">
        <w:rPr>
          <w:rFonts w:ascii="Times New Roman" w:hAnsi="Times New Roman" w:cs="Times New Roman"/>
          <w:sz w:val="24"/>
          <w:szCs w:val="24"/>
        </w:rPr>
        <w:lastRenderedPageBreak/>
        <w:t>While conversion therapy for trans youth is banned,</w:t>
      </w:r>
      <w:r w:rsidR="00BF731A">
        <w:rPr>
          <w:rFonts w:ascii="Times New Roman" w:hAnsi="Times New Roman" w:cs="Times New Roman"/>
          <w:sz w:val="24"/>
          <w:szCs w:val="24"/>
        </w:rPr>
        <w:t xml:space="preserve"> what </w:t>
      </w:r>
      <w:proofErr w:type="spellStart"/>
      <w:r w:rsidR="00BF731A">
        <w:rPr>
          <w:rFonts w:ascii="Times New Roman" w:hAnsi="Times New Roman" w:cs="Times New Roman"/>
          <w:sz w:val="24"/>
          <w:szCs w:val="24"/>
        </w:rPr>
        <w:t>Pyne</w:t>
      </w:r>
      <w:proofErr w:type="spellEnd"/>
      <w:r w:rsidR="00BF731A">
        <w:rPr>
          <w:rFonts w:ascii="Times New Roman" w:hAnsi="Times New Roman" w:cs="Times New Roman"/>
          <w:sz w:val="24"/>
          <w:szCs w:val="24"/>
        </w:rPr>
        <w:t xml:space="preserve"> argues is</w:t>
      </w:r>
      <w:r w:rsidR="00EA719C">
        <w:rPr>
          <w:rFonts w:ascii="Times New Roman" w:hAnsi="Times New Roman" w:cs="Times New Roman"/>
          <w:sz w:val="24"/>
          <w:szCs w:val="24"/>
        </w:rPr>
        <w:t xml:space="preserve"> a similar therapy of </w:t>
      </w:r>
      <w:r w:rsidR="00BA591D">
        <w:rPr>
          <w:rFonts w:ascii="Times New Roman" w:hAnsi="Times New Roman" w:cs="Times New Roman"/>
          <w:sz w:val="24"/>
          <w:szCs w:val="24"/>
        </w:rPr>
        <w:t xml:space="preserve">dehumanizing </w:t>
      </w:r>
      <w:r w:rsidR="00EA719C">
        <w:rPr>
          <w:rFonts w:ascii="Times New Roman" w:hAnsi="Times New Roman" w:cs="Times New Roman"/>
          <w:sz w:val="24"/>
          <w:szCs w:val="24"/>
        </w:rPr>
        <w:t>behaviour modification, in this case applied behavioural analysis or ABA for autistic youth, is</w:t>
      </w:r>
      <w:r w:rsidR="00BA591D">
        <w:rPr>
          <w:rFonts w:ascii="Times New Roman" w:hAnsi="Times New Roman" w:cs="Times New Roman"/>
          <w:sz w:val="24"/>
          <w:szCs w:val="24"/>
        </w:rPr>
        <w:t xml:space="preserve"> not only government funded, but in many places legally mandated as a treatment for autism.</w:t>
      </w:r>
      <w:r w:rsidR="00B6035F">
        <w:rPr>
          <w:rStyle w:val="FootnoteReference"/>
          <w:rFonts w:ascii="Times New Roman" w:hAnsi="Times New Roman" w:cs="Times New Roman"/>
          <w:sz w:val="24"/>
          <w:szCs w:val="24"/>
        </w:rPr>
        <w:footnoteReference w:id="83"/>
      </w:r>
      <w:r w:rsidR="00BA591D">
        <w:rPr>
          <w:rFonts w:ascii="Times New Roman" w:hAnsi="Times New Roman" w:cs="Times New Roman"/>
          <w:sz w:val="24"/>
          <w:szCs w:val="24"/>
        </w:rPr>
        <w:t xml:space="preserve">  </w:t>
      </w:r>
      <w:r w:rsidR="00B6035F">
        <w:rPr>
          <w:rFonts w:ascii="Times New Roman" w:hAnsi="Times New Roman" w:cs="Times New Roman"/>
          <w:sz w:val="24"/>
          <w:szCs w:val="24"/>
        </w:rPr>
        <w:t>Interrogating the changes embedded in Bill 77</w:t>
      </w:r>
      <w:r w:rsidR="00BA591D">
        <w:rPr>
          <w:rFonts w:ascii="Times New Roman" w:hAnsi="Times New Roman" w:cs="Times New Roman"/>
          <w:sz w:val="24"/>
          <w:szCs w:val="24"/>
        </w:rPr>
        <w:t xml:space="preserve"> for trans youth,</w:t>
      </w:r>
      <w:r w:rsidR="002B3FC0">
        <w:rPr>
          <w:rFonts w:ascii="Times New Roman" w:hAnsi="Times New Roman" w:cs="Times New Roman"/>
          <w:sz w:val="24"/>
          <w:szCs w:val="24"/>
        </w:rPr>
        <w:t xml:space="preserve"> opens up a</w:t>
      </w:r>
      <w:r w:rsidR="00931227">
        <w:rPr>
          <w:rFonts w:ascii="Times New Roman" w:hAnsi="Times New Roman" w:cs="Times New Roman"/>
          <w:sz w:val="24"/>
          <w:szCs w:val="24"/>
        </w:rPr>
        <w:t xml:space="preserve"> way to see the ableism </w:t>
      </w:r>
      <w:r w:rsidR="002B3FC0">
        <w:rPr>
          <w:rFonts w:ascii="Times New Roman" w:hAnsi="Times New Roman" w:cs="Times New Roman"/>
          <w:sz w:val="24"/>
          <w:szCs w:val="24"/>
        </w:rPr>
        <w:t>embedded in what i</w:t>
      </w:r>
      <w:r w:rsidR="00FF6B41">
        <w:rPr>
          <w:rFonts w:ascii="Times New Roman" w:hAnsi="Times New Roman" w:cs="Times New Roman"/>
          <w:sz w:val="24"/>
          <w:szCs w:val="24"/>
        </w:rPr>
        <w:t>s otherwise an unqualified good,</w:t>
      </w:r>
      <w:r w:rsidR="002B3FC0">
        <w:rPr>
          <w:rFonts w:ascii="Times New Roman" w:hAnsi="Times New Roman" w:cs="Times New Roman"/>
          <w:sz w:val="24"/>
          <w:szCs w:val="24"/>
        </w:rPr>
        <w:t xml:space="preserve"> particularly when situated against a view of</w:t>
      </w:r>
      <w:r w:rsidR="00BA591D">
        <w:rPr>
          <w:rFonts w:ascii="Times New Roman" w:hAnsi="Times New Roman" w:cs="Times New Roman"/>
          <w:sz w:val="24"/>
          <w:szCs w:val="24"/>
        </w:rPr>
        <w:t xml:space="preserve"> ABA as a form of cultural annihilation.</w:t>
      </w:r>
      <w:r w:rsidR="00BA591D">
        <w:rPr>
          <w:rStyle w:val="FootnoteReference"/>
          <w:rFonts w:ascii="Times New Roman" w:hAnsi="Times New Roman" w:cs="Times New Roman"/>
          <w:sz w:val="24"/>
          <w:szCs w:val="24"/>
        </w:rPr>
        <w:footnoteReference w:id="84"/>
      </w:r>
      <w:r w:rsidR="00FD35BD">
        <w:rPr>
          <w:rFonts w:ascii="Times New Roman" w:hAnsi="Times New Roman" w:cs="Times New Roman"/>
          <w:sz w:val="24"/>
          <w:szCs w:val="24"/>
        </w:rPr>
        <w:t xml:space="preserve">  </w:t>
      </w:r>
      <w:r w:rsidR="00CD2537">
        <w:rPr>
          <w:rFonts w:ascii="Times New Roman" w:hAnsi="Times New Roman" w:cs="Times New Roman"/>
          <w:sz w:val="24"/>
          <w:szCs w:val="24"/>
        </w:rPr>
        <w:t>This offers us a powerful way into the juxtaposition of</w:t>
      </w:r>
      <w:r w:rsidR="00FD35BD">
        <w:rPr>
          <w:rFonts w:ascii="Times New Roman" w:hAnsi="Times New Roman" w:cs="Times New Roman"/>
          <w:sz w:val="24"/>
          <w:szCs w:val="24"/>
        </w:rPr>
        <w:t xml:space="preserve"> difference and deficit.</w:t>
      </w:r>
    </w:p>
    <w:p w14:paraId="04A45369" w14:textId="77777777" w:rsidR="00F65457" w:rsidRDefault="00F65457" w:rsidP="001603FB">
      <w:pPr>
        <w:spacing w:after="0" w:line="360" w:lineRule="auto"/>
        <w:rPr>
          <w:rFonts w:ascii="Times New Roman" w:hAnsi="Times New Roman" w:cs="Times New Roman"/>
          <w:sz w:val="24"/>
          <w:szCs w:val="24"/>
        </w:rPr>
      </w:pPr>
    </w:p>
    <w:p w14:paraId="0DC3E005" w14:textId="77777777" w:rsidR="0006133D" w:rsidRDefault="0006133D" w:rsidP="00FF6B41">
      <w:pPr>
        <w:pStyle w:val="Heading2"/>
      </w:pPr>
      <w:r w:rsidRPr="001B4559">
        <w:t>The Dispersed: Different Directions, Different Understandings</w:t>
      </w:r>
    </w:p>
    <w:p w14:paraId="2E75C8E1" w14:textId="77777777" w:rsidR="00BA591D" w:rsidRPr="003418ED" w:rsidRDefault="003418ED" w:rsidP="003418ED">
      <w:pPr>
        <w:autoSpaceDE w:val="0"/>
        <w:autoSpaceDN w:val="0"/>
        <w:adjustRightInd w:val="0"/>
        <w:spacing w:after="0" w:line="240" w:lineRule="auto"/>
        <w:ind w:left="720"/>
        <w:rPr>
          <w:rFonts w:ascii="Times New Roman" w:hAnsi="Times New Roman" w:cs="Times New Roman"/>
          <w:sz w:val="24"/>
          <w:szCs w:val="24"/>
        </w:rPr>
      </w:pPr>
      <w:r w:rsidRPr="003418ED">
        <w:rPr>
          <w:rFonts w:ascii="Times New Roman" w:hAnsi="Times New Roman" w:cs="Times New Roman"/>
          <w:i/>
          <w:sz w:val="24"/>
          <w:szCs w:val="24"/>
        </w:rPr>
        <w:t>Just as queer theory took longer to insinuate itself into legal scholarship than it did in the humanities, trans studies have perhaps moved further in other areas than</w:t>
      </w:r>
      <w:r>
        <w:rPr>
          <w:rFonts w:ascii="Times New Roman" w:hAnsi="Times New Roman" w:cs="Times New Roman"/>
          <w:i/>
          <w:sz w:val="24"/>
          <w:szCs w:val="24"/>
        </w:rPr>
        <w:t xml:space="preserve"> </w:t>
      </w:r>
      <w:r w:rsidRPr="003418ED">
        <w:rPr>
          <w:rFonts w:ascii="Times New Roman" w:hAnsi="Times New Roman" w:cs="Times New Roman"/>
          <w:i/>
          <w:sz w:val="24"/>
          <w:szCs w:val="24"/>
        </w:rPr>
        <w:t>in the legal academy. Its arrival in law is kinetic and transformational. Trans legal studies may be informed by the insights of critical legal movements that have gone ahead, but it is asking new sets of questions, unearthing long naturalized assumptions, and demanding that we look at law anew.</w:t>
      </w:r>
      <w:r>
        <w:rPr>
          <w:rStyle w:val="FootnoteReference"/>
          <w:rFonts w:ascii="Times New Roman" w:hAnsi="Times New Roman" w:cs="Times New Roman"/>
          <w:i/>
          <w:sz w:val="24"/>
          <w:szCs w:val="24"/>
        </w:rPr>
        <w:footnoteReference w:id="85"/>
      </w:r>
    </w:p>
    <w:p w14:paraId="77A827E4" w14:textId="77777777" w:rsidR="00500EB1" w:rsidRDefault="00500EB1" w:rsidP="00BC272D">
      <w:pPr>
        <w:spacing w:after="0" w:line="360" w:lineRule="auto"/>
        <w:rPr>
          <w:rFonts w:ascii="Times New Roman" w:hAnsi="Times New Roman" w:cs="Times New Roman"/>
          <w:sz w:val="24"/>
          <w:szCs w:val="24"/>
        </w:rPr>
      </w:pPr>
    </w:p>
    <w:p w14:paraId="090F52F6" w14:textId="2FFAC293" w:rsidR="003418ED" w:rsidRDefault="00FD35BD"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third modality </w:t>
      </w:r>
      <w:r w:rsidR="00EC6018">
        <w:rPr>
          <w:rFonts w:ascii="Times New Roman" w:hAnsi="Times New Roman" w:cs="Times New Roman"/>
          <w:sz w:val="24"/>
          <w:szCs w:val="24"/>
        </w:rPr>
        <w:t xml:space="preserve">I </w:t>
      </w:r>
      <w:r>
        <w:rPr>
          <w:rFonts w:ascii="Times New Roman" w:hAnsi="Times New Roman" w:cs="Times New Roman"/>
          <w:sz w:val="24"/>
          <w:szCs w:val="24"/>
        </w:rPr>
        <w:t xml:space="preserve">have chosen to explore is dispersion </w:t>
      </w:r>
      <w:r w:rsidR="00BA591D">
        <w:rPr>
          <w:rFonts w:ascii="Times New Roman" w:hAnsi="Times New Roman" w:cs="Times New Roman"/>
          <w:sz w:val="24"/>
          <w:szCs w:val="24"/>
        </w:rPr>
        <w:t xml:space="preserve">– the way that trans legal narrators </w:t>
      </w:r>
      <w:r>
        <w:rPr>
          <w:rFonts w:ascii="Times New Roman" w:hAnsi="Times New Roman" w:cs="Times New Roman"/>
          <w:sz w:val="24"/>
          <w:szCs w:val="24"/>
        </w:rPr>
        <w:t>take th</w:t>
      </w:r>
      <w:r w:rsidR="00931227">
        <w:rPr>
          <w:rFonts w:ascii="Times New Roman" w:hAnsi="Times New Roman" w:cs="Times New Roman"/>
          <w:sz w:val="24"/>
          <w:szCs w:val="24"/>
        </w:rPr>
        <w:t xml:space="preserve">e systemic and the everyday </w:t>
      </w:r>
      <w:r w:rsidR="00BA591D">
        <w:rPr>
          <w:rFonts w:ascii="Times New Roman" w:hAnsi="Times New Roman" w:cs="Times New Roman"/>
          <w:sz w:val="24"/>
          <w:szCs w:val="24"/>
        </w:rPr>
        <w:t>in different directions and to different destinations.</w:t>
      </w:r>
      <w:r w:rsidR="00BA591D">
        <w:rPr>
          <w:rStyle w:val="FootnoteReference"/>
          <w:rFonts w:ascii="Times New Roman" w:hAnsi="Times New Roman" w:cs="Times New Roman"/>
          <w:sz w:val="24"/>
          <w:szCs w:val="24"/>
        </w:rPr>
        <w:footnoteReference w:id="86"/>
      </w:r>
      <w:r w:rsidR="001B3E8B">
        <w:rPr>
          <w:rFonts w:ascii="Times New Roman" w:hAnsi="Times New Roman" w:cs="Times New Roman"/>
          <w:sz w:val="24"/>
          <w:szCs w:val="24"/>
        </w:rPr>
        <w:t xml:space="preserve"> </w:t>
      </w:r>
      <w:r w:rsidR="00931227">
        <w:rPr>
          <w:rFonts w:ascii="Times New Roman" w:hAnsi="Times New Roman" w:cs="Times New Roman"/>
          <w:sz w:val="24"/>
          <w:szCs w:val="24"/>
        </w:rPr>
        <w:t xml:space="preserve">One of the main contributions of this volume beyond its rigour, is the treasure trove of unsettling surprises.  </w:t>
      </w:r>
      <w:r w:rsidR="005027C9">
        <w:rPr>
          <w:rFonts w:ascii="Times New Roman" w:hAnsi="Times New Roman" w:cs="Times New Roman"/>
          <w:sz w:val="24"/>
          <w:szCs w:val="24"/>
        </w:rPr>
        <w:t>This collection is a</w:t>
      </w:r>
      <w:r w:rsidR="00931227">
        <w:rPr>
          <w:rFonts w:ascii="Times New Roman" w:hAnsi="Times New Roman" w:cs="Times New Roman"/>
          <w:sz w:val="24"/>
          <w:szCs w:val="24"/>
        </w:rPr>
        <w:t xml:space="preserve"> model for what careful legal analysis can offer, particularly to those whose lives and experiences often sit outside the normative legal gaze. </w:t>
      </w:r>
      <w:r>
        <w:rPr>
          <w:rFonts w:ascii="Times New Roman" w:hAnsi="Times New Roman" w:cs="Times New Roman"/>
          <w:sz w:val="24"/>
          <w:szCs w:val="24"/>
        </w:rPr>
        <w:t>This is most evident in the many</w:t>
      </w:r>
      <w:r w:rsidR="001B3E8B">
        <w:rPr>
          <w:rFonts w:ascii="Times New Roman" w:hAnsi="Times New Roman" w:cs="Times New Roman"/>
          <w:sz w:val="24"/>
          <w:szCs w:val="24"/>
        </w:rPr>
        <w:t xml:space="preserve"> unsettling assumptions</w:t>
      </w:r>
      <w:r w:rsidR="003418ED">
        <w:rPr>
          <w:rFonts w:ascii="Times New Roman" w:hAnsi="Times New Roman" w:cs="Times New Roman"/>
          <w:sz w:val="24"/>
          <w:szCs w:val="24"/>
        </w:rPr>
        <w:t xml:space="preserve"> these authors unearth. Problematizing what </w:t>
      </w:r>
      <w:r w:rsidR="00931227">
        <w:rPr>
          <w:rFonts w:ascii="Times New Roman" w:hAnsi="Times New Roman" w:cs="Times New Roman"/>
          <w:sz w:val="24"/>
          <w:szCs w:val="24"/>
        </w:rPr>
        <w:t>may otherwise be unquestioned</w:t>
      </w:r>
      <w:r w:rsidR="003418ED">
        <w:rPr>
          <w:rFonts w:ascii="Times New Roman" w:hAnsi="Times New Roman" w:cs="Times New Roman"/>
          <w:sz w:val="24"/>
          <w:szCs w:val="24"/>
        </w:rPr>
        <w:t xml:space="preserve"> is a model f</w:t>
      </w:r>
      <w:r w:rsidR="00931227">
        <w:rPr>
          <w:rFonts w:ascii="Times New Roman" w:hAnsi="Times New Roman" w:cs="Times New Roman"/>
          <w:sz w:val="24"/>
          <w:szCs w:val="24"/>
        </w:rPr>
        <w:t>or those working within the fields</w:t>
      </w:r>
      <w:r w:rsidR="000731F3">
        <w:rPr>
          <w:rFonts w:ascii="Times New Roman" w:hAnsi="Times New Roman" w:cs="Times New Roman"/>
          <w:sz w:val="24"/>
          <w:szCs w:val="24"/>
        </w:rPr>
        <w:t xml:space="preserve"> here – those </w:t>
      </w:r>
      <w:r w:rsidR="003418ED">
        <w:rPr>
          <w:rFonts w:ascii="Times New Roman" w:hAnsi="Times New Roman" w:cs="Times New Roman"/>
          <w:sz w:val="24"/>
          <w:szCs w:val="24"/>
        </w:rPr>
        <w:t>of employment, prisons, social benefit delivery, for example</w:t>
      </w:r>
      <w:r w:rsidR="000731F3">
        <w:rPr>
          <w:rFonts w:ascii="Times New Roman" w:hAnsi="Times New Roman" w:cs="Times New Roman"/>
          <w:sz w:val="24"/>
          <w:szCs w:val="24"/>
        </w:rPr>
        <w:t xml:space="preserve"> – but also for areas of law and practice </w:t>
      </w:r>
      <w:r w:rsidR="002D551C">
        <w:rPr>
          <w:rFonts w:ascii="Times New Roman" w:hAnsi="Times New Roman" w:cs="Times New Roman"/>
          <w:sz w:val="24"/>
          <w:szCs w:val="24"/>
        </w:rPr>
        <w:t>beyond these fields</w:t>
      </w:r>
      <w:r w:rsidR="003418ED">
        <w:rPr>
          <w:rFonts w:ascii="Times New Roman" w:hAnsi="Times New Roman" w:cs="Times New Roman"/>
          <w:sz w:val="24"/>
          <w:szCs w:val="24"/>
        </w:rPr>
        <w:t xml:space="preserve">.  </w:t>
      </w:r>
      <w:r w:rsidR="00931227">
        <w:rPr>
          <w:rFonts w:ascii="Times New Roman" w:hAnsi="Times New Roman" w:cs="Times New Roman"/>
          <w:sz w:val="24"/>
          <w:szCs w:val="24"/>
        </w:rPr>
        <w:t>As such, these articles</w:t>
      </w:r>
      <w:r w:rsidR="003418ED">
        <w:rPr>
          <w:rFonts w:ascii="Times New Roman" w:hAnsi="Times New Roman" w:cs="Times New Roman"/>
          <w:sz w:val="24"/>
          <w:szCs w:val="24"/>
        </w:rPr>
        <w:t xml:space="preserve"> are not just of value to those working to understand the trans legal subject, but to those seeking to question</w:t>
      </w:r>
      <w:r w:rsidR="00931227">
        <w:rPr>
          <w:rFonts w:ascii="Times New Roman" w:hAnsi="Times New Roman" w:cs="Times New Roman"/>
          <w:sz w:val="24"/>
          <w:szCs w:val="24"/>
        </w:rPr>
        <w:t xml:space="preserve"> the embedded assumptions within law that give it</w:t>
      </w:r>
      <w:r w:rsidR="003418ED">
        <w:rPr>
          <w:rFonts w:ascii="Times New Roman" w:hAnsi="Times New Roman" w:cs="Times New Roman"/>
          <w:sz w:val="24"/>
          <w:szCs w:val="24"/>
        </w:rPr>
        <w:t xml:space="preserve"> the power to exclude, across disciplines, jurisdictions, and imaginaries.</w:t>
      </w:r>
    </w:p>
    <w:p w14:paraId="2BEE6808" w14:textId="77777777" w:rsidR="003418ED" w:rsidRDefault="003418ED" w:rsidP="00BC272D">
      <w:pPr>
        <w:spacing w:after="0" w:line="360" w:lineRule="auto"/>
        <w:rPr>
          <w:rFonts w:ascii="Times New Roman" w:hAnsi="Times New Roman" w:cs="Times New Roman"/>
          <w:sz w:val="24"/>
          <w:szCs w:val="24"/>
        </w:rPr>
      </w:pPr>
    </w:p>
    <w:p w14:paraId="7419CB60" w14:textId="5D746F28" w:rsidR="0096066C" w:rsidRDefault="00931227"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 explore f</w:t>
      </w:r>
      <w:r w:rsidR="00632B56">
        <w:rPr>
          <w:rFonts w:ascii="Times New Roman" w:hAnsi="Times New Roman" w:cs="Times New Roman"/>
          <w:sz w:val="24"/>
          <w:szCs w:val="24"/>
        </w:rPr>
        <w:t>our assumptions</w:t>
      </w:r>
      <w:r>
        <w:rPr>
          <w:rFonts w:ascii="Times New Roman" w:hAnsi="Times New Roman" w:cs="Times New Roman"/>
          <w:sz w:val="24"/>
          <w:szCs w:val="24"/>
        </w:rPr>
        <w:t xml:space="preserve"> highlighted by the contributors</w:t>
      </w:r>
      <w:r w:rsidR="00632B56">
        <w:rPr>
          <w:rFonts w:ascii="Times New Roman" w:hAnsi="Times New Roman" w:cs="Times New Roman"/>
          <w:sz w:val="24"/>
          <w:szCs w:val="24"/>
        </w:rPr>
        <w:t xml:space="preserve"> here:  the first, that human rights law offers the trans leg</w:t>
      </w:r>
      <w:r w:rsidR="00FF6A29">
        <w:rPr>
          <w:rFonts w:ascii="Times New Roman" w:hAnsi="Times New Roman" w:cs="Times New Roman"/>
          <w:sz w:val="24"/>
          <w:szCs w:val="24"/>
        </w:rPr>
        <w:t>al subject an unquestioned good; the second</w:t>
      </w:r>
      <w:r w:rsidR="00632B56">
        <w:rPr>
          <w:rFonts w:ascii="Times New Roman" w:hAnsi="Times New Roman" w:cs="Times New Roman"/>
          <w:sz w:val="24"/>
          <w:szCs w:val="24"/>
        </w:rPr>
        <w:t>, that discrimination law is appropriately focused on the</w:t>
      </w:r>
      <w:r w:rsidR="00FF6A29">
        <w:rPr>
          <w:rFonts w:ascii="Times New Roman" w:hAnsi="Times New Roman" w:cs="Times New Roman"/>
          <w:sz w:val="24"/>
          <w:szCs w:val="24"/>
        </w:rPr>
        <w:t xml:space="preserve"> experience of the marginalized; the third</w:t>
      </w:r>
      <w:r w:rsidR="00632B56">
        <w:rPr>
          <w:rFonts w:ascii="Times New Roman" w:hAnsi="Times New Roman" w:cs="Times New Roman"/>
          <w:sz w:val="24"/>
          <w:szCs w:val="24"/>
        </w:rPr>
        <w:t>, that</w:t>
      </w:r>
      <w:r w:rsidR="0096066C">
        <w:rPr>
          <w:rFonts w:ascii="Times New Roman" w:hAnsi="Times New Roman" w:cs="Times New Roman"/>
          <w:sz w:val="24"/>
          <w:szCs w:val="24"/>
        </w:rPr>
        <w:t xml:space="preserve"> the gender binary is an unquesti</w:t>
      </w:r>
      <w:r w:rsidR="00FF6A29">
        <w:rPr>
          <w:rFonts w:ascii="Times New Roman" w:hAnsi="Times New Roman" w:cs="Times New Roman"/>
          <w:sz w:val="24"/>
          <w:szCs w:val="24"/>
        </w:rPr>
        <w:t>oned core of human existence; a</w:t>
      </w:r>
      <w:r w:rsidR="0096066C">
        <w:rPr>
          <w:rFonts w:ascii="Times New Roman" w:hAnsi="Times New Roman" w:cs="Times New Roman"/>
          <w:sz w:val="24"/>
          <w:szCs w:val="24"/>
        </w:rPr>
        <w:t>nd finally, that the issues of trans youth are at the heart of this new and emerging area of study.</w:t>
      </w:r>
      <w:r w:rsidR="0002484F">
        <w:rPr>
          <w:rFonts w:ascii="Times New Roman" w:hAnsi="Times New Roman" w:cs="Times New Roman"/>
          <w:sz w:val="24"/>
          <w:szCs w:val="24"/>
        </w:rPr>
        <w:t xml:space="preserve">  </w:t>
      </w:r>
    </w:p>
    <w:p w14:paraId="1C9C253A" w14:textId="77777777" w:rsidR="0002484F" w:rsidRDefault="0002484F" w:rsidP="00BC272D">
      <w:pPr>
        <w:spacing w:after="0" w:line="360" w:lineRule="auto"/>
        <w:rPr>
          <w:rFonts w:ascii="Times New Roman" w:hAnsi="Times New Roman" w:cs="Times New Roman"/>
          <w:sz w:val="24"/>
          <w:szCs w:val="24"/>
        </w:rPr>
      </w:pPr>
    </w:p>
    <w:p w14:paraId="2D4CE595" w14:textId="42074A3C" w:rsidR="0002484F" w:rsidRDefault="00CC2679"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t>O</w:t>
      </w:r>
      <w:r w:rsidR="000731F3">
        <w:rPr>
          <w:rFonts w:ascii="Times New Roman" w:hAnsi="Times New Roman" w:cs="Times New Roman"/>
          <w:sz w:val="24"/>
          <w:szCs w:val="24"/>
        </w:rPr>
        <w:t>ne benign assumption is</w:t>
      </w:r>
      <w:r>
        <w:rPr>
          <w:rFonts w:ascii="Times New Roman" w:hAnsi="Times New Roman" w:cs="Times New Roman"/>
          <w:sz w:val="24"/>
          <w:szCs w:val="24"/>
        </w:rPr>
        <w:t xml:space="preserve"> that employment law would be an area of law most positively impacted by Bill C-16, and in particular, the notion that discrimination on the basis of gender expression is expressly prohibited would benefit trans people in addressing unemployment or underemployment concerns.  What Irving and </w:t>
      </w:r>
      <w:proofErr w:type="spellStart"/>
      <w:r>
        <w:rPr>
          <w:rFonts w:ascii="Times New Roman" w:hAnsi="Times New Roman" w:cs="Times New Roman"/>
          <w:sz w:val="24"/>
          <w:szCs w:val="24"/>
        </w:rPr>
        <w:t>Hoo</w:t>
      </w:r>
      <w:proofErr w:type="spellEnd"/>
      <w:r>
        <w:rPr>
          <w:rFonts w:ascii="Times New Roman" w:hAnsi="Times New Roman" w:cs="Times New Roman"/>
          <w:sz w:val="24"/>
          <w:szCs w:val="24"/>
        </w:rPr>
        <w:t xml:space="preserve"> demonstrate, however, is that prohibitions against direct discrimination were already a core component of employment law in Canada; </w:t>
      </w:r>
      <w:r w:rsidR="000731F3">
        <w:rPr>
          <w:rFonts w:ascii="Times New Roman" w:hAnsi="Times New Roman" w:cs="Times New Roman"/>
          <w:sz w:val="24"/>
          <w:szCs w:val="24"/>
        </w:rPr>
        <w:t xml:space="preserve">and in fact </w:t>
      </w:r>
      <w:r>
        <w:rPr>
          <w:rFonts w:ascii="Times New Roman" w:hAnsi="Times New Roman" w:cs="Times New Roman"/>
          <w:sz w:val="24"/>
          <w:szCs w:val="24"/>
        </w:rPr>
        <w:t xml:space="preserve">the </w:t>
      </w:r>
      <w:r w:rsidR="00FF6A29">
        <w:rPr>
          <w:rFonts w:ascii="Times New Roman" w:hAnsi="Times New Roman" w:cs="Times New Roman"/>
          <w:sz w:val="24"/>
          <w:szCs w:val="24"/>
        </w:rPr>
        <w:t xml:space="preserve">all too frequent </w:t>
      </w:r>
      <w:r>
        <w:rPr>
          <w:rFonts w:ascii="Times New Roman" w:hAnsi="Times New Roman" w:cs="Times New Roman"/>
          <w:sz w:val="24"/>
          <w:szCs w:val="24"/>
        </w:rPr>
        <w:t xml:space="preserve">indirect, adverse, and the systemic </w:t>
      </w:r>
      <w:r w:rsidR="00FF6A29">
        <w:rPr>
          <w:rFonts w:ascii="Times New Roman" w:hAnsi="Times New Roman" w:cs="Times New Roman"/>
          <w:sz w:val="24"/>
          <w:szCs w:val="24"/>
        </w:rPr>
        <w:t xml:space="preserve">forms of discrimination </w:t>
      </w:r>
      <w:r>
        <w:rPr>
          <w:rFonts w:ascii="Times New Roman" w:hAnsi="Times New Roman" w:cs="Times New Roman"/>
          <w:sz w:val="24"/>
          <w:szCs w:val="24"/>
        </w:rPr>
        <w:t>are much harder claims to prove, even with the change in the law.</w:t>
      </w:r>
      <w:r>
        <w:rPr>
          <w:rStyle w:val="FootnoteReference"/>
          <w:rFonts w:ascii="Times New Roman" w:hAnsi="Times New Roman" w:cs="Times New Roman"/>
          <w:sz w:val="24"/>
          <w:szCs w:val="24"/>
        </w:rPr>
        <w:footnoteReference w:id="87"/>
      </w:r>
      <w:r>
        <w:rPr>
          <w:rFonts w:ascii="Times New Roman" w:hAnsi="Times New Roman" w:cs="Times New Roman"/>
          <w:sz w:val="24"/>
          <w:szCs w:val="24"/>
        </w:rPr>
        <w:t xml:space="preserve">  But more importantly their study shows that the “existing sex/gender binary system shapes</w:t>
      </w:r>
      <w:r w:rsidR="001343EB">
        <w:rPr>
          <w:rFonts w:ascii="Times New Roman" w:hAnsi="Times New Roman" w:cs="Times New Roman"/>
          <w:sz w:val="24"/>
          <w:szCs w:val="24"/>
        </w:rPr>
        <w:t xml:space="preserve"> domin</w:t>
      </w:r>
      <w:r w:rsidR="000731F3">
        <w:rPr>
          <w:rFonts w:ascii="Times New Roman" w:hAnsi="Times New Roman" w:cs="Times New Roman"/>
          <w:sz w:val="24"/>
          <w:szCs w:val="24"/>
        </w:rPr>
        <w:t>ant approaches to employability</w:t>
      </w:r>
      <w:r w:rsidR="001343EB">
        <w:rPr>
          <w:rFonts w:ascii="Times New Roman" w:hAnsi="Times New Roman" w:cs="Times New Roman"/>
          <w:sz w:val="24"/>
          <w:szCs w:val="24"/>
        </w:rPr>
        <w:t>”</w:t>
      </w:r>
      <w:r w:rsidR="001343EB">
        <w:rPr>
          <w:rStyle w:val="FootnoteReference"/>
          <w:rFonts w:ascii="Times New Roman" w:hAnsi="Times New Roman" w:cs="Times New Roman"/>
          <w:sz w:val="24"/>
          <w:szCs w:val="24"/>
        </w:rPr>
        <w:footnoteReference w:id="88"/>
      </w:r>
      <w:r w:rsidR="000731F3">
        <w:rPr>
          <w:rFonts w:ascii="Times New Roman" w:hAnsi="Times New Roman" w:cs="Times New Roman"/>
          <w:sz w:val="24"/>
          <w:szCs w:val="24"/>
        </w:rPr>
        <w:t xml:space="preserve"> and as a result, human rights law cannot in and of itself correct the inequities of </w:t>
      </w:r>
      <w:r w:rsidR="000731F3" w:rsidRPr="00FF6A29">
        <w:rPr>
          <w:rFonts w:ascii="Times New Roman" w:hAnsi="Times New Roman" w:cs="Times New Roman"/>
          <w:i/>
          <w:sz w:val="24"/>
          <w:szCs w:val="24"/>
        </w:rPr>
        <w:t>underemployment</w:t>
      </w:r>
      <w:r w:rsidR="000731F3">
        <w:rPr>
          <w:rFonts w:ascii="Times New Roman" w:hAnsi="Times New Roman" w:cs="Times New Roman"/>
          <w:sz w:val="24"/>
          <w:szCs w:val="24"/>
        </w:rPr>
        <w:t xml:space="preserve"> flowing from unconscious demands for fit, for bodies that produce affective labour,</w:t>
      </w:r>
      <w:r w:rsidR="003157DA">
        <w:rPr>
          <w:rFonts w:ascii="Times New Roman" w:hAnsi="Times New Roman" w:cs="Times New Roman"/>
          <w:sz w:val="24"/>
          <w:szCs w:val="24"/>
        </w:rPr>
        <w:t xml:space="preserve"> and for the sensate experiences of marginalization and exclusion that workplace denials incur.</w:t>
      </w:r>
      <w:r w:rsidR="003157DA">
        <w:rPr>
          <w:rStyle w:val="FootnoteReference"/>
          <w:rFonts w:ascii="Times New Roman" w:hAnsi="Times New Roman" w:cs="Times New Roman"/>
          <w:sz w:val="24"/>
          <w:szCs w:val="24"/>
        </w:rPr>
        <w:footnoteReference w:id="89"/>
      </w:r>
      <w:r w:rsidR="003157DA">
        <w:rPr>
          <w:rFonts w:ascii="Times New Roman" w:hAnsi="Times New Roman" w:cs="Times New Roman"/>
          <w:sz w:val="24"/>
          <w:szCs w:val="24"/>
        </w:rPr>
        <w:t xml:space="preserve"> The study of trans un- and underemployability makes visible that changes in human rights law cannot rectify the unspoken demand for certain bodies in the workplace.</w:t>
      </w:r>
      <w:r w:rsidR="003157DA">
        <w:rPr>
          <w:rStyle w:val="FootnoteReference"/>
          <w:rFonts w:ascii="Times New Roman" w:hAnsi="Times New Roman" w:cs="Times New Roman"/>
          <w:sz w:val="24"/>
          <w:szCs w:val="24"/>
        </w:rPr>
        <w:footnoteReference w:id="90"/>
      </w:r>
    </w:p>
    <w:p w14:paraId="7A1051DA" w14:textId="77777777" w:rsidR="003157DA" w:rsidRDefault="003157DA" w:rsidP="00BC272D">
      <w:pPr>
        <w:spacing w:after="0" w:line="360" w:lineRule="auto"/>
        <w:rPr>
          <w:rFonts w:ascii="Times New Roman" w:hAnsi="Times New Roman" w:cs="Times New Roman"/>
          <w:sz w:val="24"/>
          <w:szCs w:val="24"/>
        </w:rPr>
      </w:pPr>
    </w:p>
    <w:p w14:paraId="5F211865" w14:textId="540DA48D" w:rsidR="009B2186" w:rsidRDefault="004C25E3" w:rsidP="00443754">
      <w:pPr>
        <w:spacing w:after="0" w:line="360" w:lineRule="auto"/>
        <w:rPr>
          <w:rFonts w:ascii="Times New Roman" w:hAnsi="Times New Roman" w:cs="Times New Roman"/>
          <w:sz w:val="24"/>
          <w:szCs w:val="24"/>
        </w:rPr>
      </w:pPr>
      <w:r>
        <w:rPr>
          <w:rFonts w:ascii="Times New Roman" w:hAnsi="Times New Roman" w:cs="Times New Roman"/>
          <w:sz w:val="24"/>
          <w:szCs w:val="24"/>
        </w:rPr>
        <w:t>The authors do, however, point to numerous places where the change in human rights law has been significant, for symbolic, educative and op</w:t>
      </w:r>
      <w:r w:rsidRPr="009B2186">
        <w:rPr>
          <w:rFonts w:ascii="Times New Roman" w:hAnsi="Times New Roman" w:cs="Times New Roman"/>
          <w:sz w:val="24"/>
          <w:szCs w:val="24"/>
        </w:rPr>
        <w:t>erational reasons.  In their study of the places and spaces where the concepts of “gender expression” and “gender identity” are inscrib</w:t>
      </w:r>
      <w:r w:rsidR="004E2255">
        <w:rPr>
          <w:rFonts w:ascii="Times New Roman" w:hAnsi="Times New Roman" w:cs="Times New Roman"/>
          <w:sz w:val="24"/>
          <w:szCs w:val="24"/>
        </w:rPr>
        <w:t xml:space="preserve">ed with meaning, </w:t>
      </w:r>
      <w:proofErr w:type="spellStart"/>
      <w:r w:rsidR="004E2255">
        <w:rPr>
          <w:rFonts w:ascii="Times New Roman" w:hAnsi="Times New Roman" w:cs="Times New Roman"/>
          <w:sz w:val="24"/>
          <w:szCs w:val="24"/>
        </w:rPr>
        <w:t>Kirkup</w:t>
      </w:r>
      <w:proofErr w:type="spellEnd"/>
      <w:r w:rsidR="004E2255">
        <w:rPr>
          <w:rFonts w:ascii="Times New Roman" w:hAnsi="Times New Roman" w:cs="Times New Roman"/>
          <w:sz w:val="24"/>
          <w:szCs w:val="24"/>
        </w:rPr>
        <w:t>, et al.</w:t>
      </w:r>
      <w:r w:rsidRPr="009B2186">
        <w:rPr>
          <w:rFonts w:ascii="Times New Roman" w:hAnsi="Times New Roman" w:cs="Times New Roman"/>
          <w:sz w:val="24"/>
          <w:szCs w:val="24"/>
        </w:rPr>
        <w:t xml:space="preserve"> quote Patricia Williams on the promise of human rights protections</w:t>
      </w:r>
      <w:r w:rsidR="009B2186" w:rsidRPr="009B2186">
        <w:rPr>
          <w:rFonts w:ascii="Times New Roman" w:hAnsi="Times New Roman" w:cs="Times New Roman"/>
          <w:sz w:val="24"/>
          <w:szCs w:val="24"/>
        </w:rPr>
        <w:t>, particularly for people of colour</w:t>
      </w:r>
      <w:r w:rsidRPr="009B2186">
        <w:rPr>
          <w:rFonts w:ascii="Times New Roman" w:hAnsi="Times New Roman" w:cs="Times New Roman"/>
          <w:sz w:val="24"/>
          <w:szCs w:val="24"/>
        </w:rPr>
        <w:t>.  She argues,</w:t>
      </w:r>
      <w:r w:rsidR="009B2186" w:rsidRPr="009B2186">
        <w:rPr>
          <w:rFonts w:ascii="Times New Roman" w:hAnsi="Times New Roman" w:cs="Times New Roman"/>
          <w:sz w:val="24"/>
          <w:szCs w:val="24"/>
        </w:rPr>
        <w:t xml:space="preserve"> “</w:t>
      </w:r>
      <w:r w:rsidR="009B2186">
        <w:rPr>
          <w:rFonts w:ascii="Times New Roman" w:hAnsi="Times New Roman" w:cs="Times New Roman"/>
          <w:sz w:val="24"/>
          <w:szCs w:val="24"/>
        </w:rPr>
        <w:t>f</w:t>
      </w:r>
      <w:r w:rsidR="009B2186" w:rsidRPr="009B2186">
        <w:rPr>
          <w:rFonts w:ascii="Times New Roman" w:hAnsi="Times New Roman" w:cs="Times New Roman"/>
          <w:sz w:val="24"/>
          <w:szCs w:val="24"/>
        </w:rPr>
        <w:t xml:space="preserve">or the historically disempowered, the conferring of rights is symbolic of all the denied aspects of humanity: rights imply a respect which places one within the referential range of self and others, which elevates one’s status from human body </w:t>
      </w:r>
      <w:r w:rsidR="009B2186" w:rsidRPr="009B2186">
        <w:rPr>
          <w:rFonts w:ascii="Times New Roman" w:hAnsi="Times New Roman" w:cs="Times New Roman"/>
          <w:sz w:val="24"/>
          <w:szCs w:val="24"/>
        </w:rPr>
        <w:lastRenderedPageBreak/>
        <w:t>to social being.”</w:t>
      </w:r>
      <w:r w:rsidR="009B2186">
        <w:rPr>
          <w:rStyle w:val="FootnoteReference"/>
          <w:rFonts w:ascii="Times New Roman" w:hAnsi="Times New Roman" w:cs="Times New Roman"/>
          <w:sz w:val="24"/>
          <w:szCs w:val="24"/>
        </w:rPr>
        <w:footnoteReference w:id="91"/>
      </w:r>
      <w:r w:rsidR="009B2186">
        <w:rPr>
          <w:rFonts w:ascii="Times New Roman" w:hAnsi="Times New Roman" w:cs="Times New Roman"/>
          <w:sz w:val="24"/>
          <w:szCs w:val="24"/>
        </w:rPr>
        <w:t xml:space="preserve">  The signal of naming gender e</w:t>
      </w:r>
      <w:r w:rsidR="00FF6A29">
        <w:rPr>
          <w:rFonts w:ascii="Times New Roman" w:hAnsi="Times New Roman" w:cs="Times New Roman"/>
          <w:sz w:val="24"/>
          <w:szCs w:val="24"/>
        </w:rPr>
        <w:t>xpression and gender identity in</w:t>
      </w:r>
      <w:r w:rsidR="009B2186">
        <w:rPr>
          <w:rFonts w:ascii="Times New Roman" w:hAnsi="Times New Roman" w:cs="Times New Roman"/>
          <w:sz w:val="24"/>
          <w:szCs w:val="24"/>
        </w:rPr>
        <w:t xml:space="preserve"> Canadian human rights law should not be underestimated or downplayed.</w:t>
      </w:r>
    </w:p>
    <w:p w14:paraId="13B1D2CE" w14:textId="77777777" w:rsidR="009B2186" w:rsidRDefault="009B2186" w:rsidP="00443754">
      <w:pPr>
        <w:spacing w:after="0" w:line="360" w:lineRule="auto"/>
        <w:rPr>
          <w:rFonts w:ascii="Times New Roman" w:hAnsi="Times New Roman" w:cs="Times New Roman"/>
          <w:sz w:val="24"/>
          <w:szCs w:val="24"/>
        </w:rPr>
      </w:pPr>
    </w:p>
    <w:p w14:paraId="27F0E2D5" w14:textId="6CC65141" w:rsidR="009B2186" w:rsidRPr="008F6A29" w:rsidRDefault="009B2186" w:rsidP="008F6A29">
      <w:pPr>
        <w:spacing w:line="360" w:lineRule="auto"/>
        <w:rPr>
          <w:rFonts w:ascii="Times New Roman" w:eastAsia="Times New Roman" w:hAnsi="Times New Roman" w:cs="Times New Roman"/>
          <w:sz w:val="24"/>
          <w:szCs w:val="24"/>
        </w:rPr>
      </w:pPr>
      <w:proofErr w:type="spellStart"/>
      <w:r>
        <w:rPr>
          <w:rFonts w:ascii="Times New Roman" w:hAnsi="Times New Roman" w:cs="Times New Roman"/>
          <w:sz w:val="24"/>
          <w:szCs w:val="24"/>
        </w:rPr>
        <w:t>Kirkup</w:t>
      </w:r>
      <w:proofErr w:type="spellEnd"/>
      <w:r>
        <w:rPr>
          <w:rFonts w:ascii="Times New Roman" w:hAnsi="Times New Roman" w:cs="Times New Roman"/>
          <w:sz w:val="24"/>
          <w:szCs w:val="24"/>
        </w:rPr>
        <w:t xml:space="preserve"> et al., are </w:t>
      </w:r>
      <w:r w:rsidR="00FF6A29">
        <w:rPr>
          <w:rFonts w:ascii="Times New Roman" w:hAnsi="Times New Roman" w:cs="Times New Roman"/>
          <w:sz w:val="24"/>
          <w:szCs w:val="24"/>
        </w:rPr>
        <w:t xml:space="preserve">also </w:t>
      </w:r>
      <w:r>
        <w:rPr>
          <w:rFonts w:ascii="Times New Roman" w:hAnsi="Times New Roman" w:cs="Times New Roman"/>
          <w:sz w:val="24"/>
          <w:szCs w:val="24"/>
        </w:rPr>
        <w:t>effective in showing that sometimes it is necessary to move outside of the formal spaces of law, courts and tribunals, for example, to understand the way that meaning is constructed in these terms. In their study of school board policies, for example, they are able to show that “gender identity” and “gender expression” are given more expansive and inclusive meanings</w:t>
      </w:r>
      <w:r w:rsidR="006F25E0">
        <w:rPr>
          <w:rFonts w:ascii="Times New Roman" w:hAnsi="Times New Roman" w:cs="Times New Roman"/>
          <w:sz w:val="24"/>
          <w:szCs w:val="24"/>
        </w:rPr>
        <w:t xml:space="preserve"> in school board contexts</w:t>
      </w:r>
      <w:r>
        <w:rPr>
          <w:rFonts w:ascii="Times New Roman" w:hAnsi="Times New Roman" w:cs="Times New Roman"/>
          <w:sz w:val="24"/>
          <w:szCs w:val="24"/>
        </w:rPr>
        <w:t xml:space="preserve">, </w:t>
      </w:r>
      <w:r w:rsidRPr="008F0070">
        <w:rPr>
          <w:rFonts w:ascii="Times New Roman" w:hAnsi="Times New Roman" w:cs="Times New Roman"/>
          <w:sz w:val="24"/>
          <w:szCs w:val="24"/>
        </w:rPr>
        <w:t>definitions that allow people to do gender in a broader variety of ways.</w:t>
      </w:r>
      <w:r w:rsidR="008100C5" w:rsidRPr="008F0070">
        <w:rPr>
          <w:rStyle w:val="FootnoteReference"/>
          <w:rFonts w:ascii="Times New Roman" w:hAnsi="Times New Roman" w:cs="Times New Roman"/>
          <w:sz w:val="24"/>
          <w:szCs w:val="24"/>
        </w:rPr>
        <w:footnoteReference w:id="92"/>
      </w:r>
      <w:r w:rsidRPr="008F0070">
        <w:rPr>
          <w:rFonts w:ascii="Times New Roman" w:hAnsi="Times New Roman" w:cs="Times New Roman"/>
          <w:sz w:val="24"/>
          <w:szCs w:val="24"/>
        </w:rPr>
        <w:t xml:space="preserve"> </w:t>
      </w:r>
      <w:r w:rsidR="00927ECF">
        <w:rPr>
          <w:rFonts w:ascii="Times New Roman" w:hAnsi="Times New Roman" w:cs="Times New Roman"/>
          <w:sz w:val="24"/>
          <w:szCs w:val="24"/>
        </w:rPr>
        <w:t xml:space="preserve">Importantly they point to several </w:t>
      </w:r>
      <w:r w:rsidR="00443754">
        <w:rPr>
          <w:rFonts w:ascii="Times New Roman" w:hAnsi="Times New Roman" w:cs="Times New Roman"/>
          <w:sz w:val="24"/>
          <w:szCs w:val="24"/>
        </w:rPr>
        <w:t xml:space="preserve">policy </w:t>
      </w:r>
      <w:r w:rsidR="00927ECF">
        <w:rPr>
          <w:rFonts w:ascii="Times New Roman" w:hAnsi="Times New Roman" w:cs="Times New Roman"/>
          <w:sz w:val="24"/>
          <w:szCs w:val="24"/>
        </w:rPr>
        <w:t>definitions</w:t>
      </w:r>
      <w:r w:rsidR="00443754">
        <w:rPr>
          <w:rFonts w:ascii="Times New Roman" w:hAnsi="Times New Roman" w:cs="Times New Roman"/>
          <w:sz w:val="24"/>
          <w:szCs w:val="24"/>
        </w:rPr>
        <w:t xml:space="preserve"> with an explicit</w:t>
      </w:r>
      <w:r w:rsidR="00927ECF" w:rsidRPr="00927ECF">
        <w:rPr>
          <w:rFonts w:ascii="Times New Roman" w:eastAsia="Times New Roman" w:hAnsi="Times New Roman" w:cs="Times New Roman"/>
          <w:sz w:val="24"/>
          <w:szCs w:val="24"/>
        </w:rPr>
        <w:t xml:space="preserve"> commitment to “gender expression” </w:t>
      </w:r>
      <w:r w:rsidR="00443754">
        <w:rPr>
          <w:rFonts w:ascii="Times New Roman" w:eastAsia="Times New Roman" w:hAnsi="Times New Roman" w:cs="Times New Roman"/>
          <w:sz w:val="24"/>
          <w:szCs w:val="24"/>
        </w:rPr>
        <w:t xml:space="preserve">and “gender identity” </w:t>
      </w:r>
      <w:r w:rsidR="00927ECF" w:rsidRPr="00927ECF">
        <w:rPr>
          <w:rFonts w:ascii="Times New Roman" w:eastAsia="Times New Roman" w:hAnsi="Times New Roman" w:cs="Times New Roman"/>
          <w:sz w:val="24"/>
          <w:szCs w:val="24"/>
        </w:rPr>
        <w:t>as universalizing construct</w:t>
      </w:r>
      <w:r w:rsidR="00443754">
        <w:rPr>
          <w:rFonts w:ascii="Times New Roman" w:eastAsia="Times New Roman" w:hAnsi="Times New Roman" w:cs="Times New Roman"/>
          <w:sz w:val="24"/>
          <w:szCs w:val="24"/>
        </w:rPr>
        <w:t>s</w:t>
      </w:r>
      <w:r w:rsidR="00927ECF" w:rsidRPr="00927ECF">
        <w:rPr>
          <w:rFonts w:ascii="Times New Roman" w:eastAsia="Times New Roman" w:hAnsi="Times New Roman" w:cs="Times New Roman"/>
          <w:sz w:val="24"/>
          <w:szCs w:val="24"/>
        </w:rPr>
        <w:t xml:space="preserve"> </w:t>
      </w:r>
      <w:r w:rsidR="00443754">
        <w:rPr>
          <w:rFonts w:ascii="Times New Roman" w:eastAsia="Times New Roman" w:hAnsi="Times New Roman" w:cs="Times New Roman"/>
          <w:sz w:val="24"/>
          <w:szCs w:val="24"/>
        </w:rPr>
        <w:t>“</w:t>
      </w:r>
      <w:r w:rsidR="00927ECF" w:rsidRPr="00927ECF">
        <w:rPr>
          <w:rFonts w:ascii="Times New Roman" w:eastAsia="Times New Roman" w:hAnsi="Times New Roman" w:cs="Times New Roman"/>
          <w:sz w:val="24"/>
          <w:szCs w:val="24"/>
        </w:rPr>
        <w:t>applying to all members of the school community, regardless of whether or not they identify as transgender and/or non-binary</w:t>
      </w:r>
      <w:r w:rsidR="00443754">
        <w:rPr>
          <w:rFonts w:ascii="Times New Roman" w:eastAsia="Times New Roman" w:hAnsi="Times New Roman" w:cs="Times New Roman"/>
          <w:sz w:val="24"/>
          <w:szCs w:val="24"/>
        </w:rPr>
        <w:t>.”</w:t>
      </w:r>
      <w:r w:rsidR="00443754">
        <w:rPr>
          <w:rStyle w:val="FootnoteReference"/>
          <w:rFonts w:ascii="Times New Roman" w:eastAsia="Times New Roman" w:hAnsi="Times New Roman" w:cs="Times New Roman"/>
          <w:sz w:val="24"/>
          <w:szCs w:val="24"/>
        </w:rPr>
        <w:footnoteReference w:id="93"/>
      </w:r>
      <w:r w:rsidR="00443754">
        <w:rPr>
          <w:rFonts w:ascii="Times New Roman" w:eastAsia="Times New Roman" w:hAnsi="Times New Roman" w:cs="Times New Roman"/>
          <w:sz w:val="24"/>
          <w:szCs w:val="24"/>
        </w:rPr>
        <w:t xml:space="preserve"> </w:t>
      </w:r>
      <w:r w:rsidRPr="008F0070">
        <w:rPr>
          <w:rFonts w:ascii="Times New Roman" w:hAnsi="Times New Roman" w:cs="Times New Roman"/>
          <w:sz w:val="24"/>
          <w:szCs w:val="24"/>
        </w:rPr>
        <w:t>Drawing on the work of Florence Ashley,</w:t>
      </w:r>
      <w:r w:rsidR="004E2255">
        <w:rPr>
          <w:rFonts w:ascii="Times New Roman" w:hAnsi="Times New Roman" w:cs="Times New Roman"/>
          <w:sz w:val="24"/>
          <w:szCs w:val="24"/>
        </w:rPr>
        <w:t xml:space="preserve"> </w:t>
      </w:r>
      <w:proofErr w:type="spellStart"/>
      <w:r w:rsidR="004E2255">
        <w:rPr>
          <w:rFonts w:ascii="Times New Roman" w:hAnsi="Times New Roman" w:cs="Times New Roman"/>
          <w:sz w:val="24"/>
          <w:szCs w:val="24"/>
        </w:rPr>
        <w:t>Kirkup</w:t>
      </w:r>
      <w:proofErr w:type="spellEnd"/>
      <w:r w:rsidR="004E2255">
        <w:rPr>
          <w:rFonts w:ascii="Times New Roman" w:hAnsi="Times New Roman" w:cs="Times New Roman"/>
          <w:sz w:val="24"/>
          <w:szCs w:val="24"/>
        </w:rPr>
        <w:t xml:space="preserve"> et al.</w:t>
      </w:r>
      <w:r w:rsidRPr="008F0070">
        <w:rPr>
          <w:rFonts w:ascii="Times New Roman" w:hAnsi="Times New Roman" w:cs="Times New Roman"/>
          <w:sz w:val="24"/>
          <w:szCs w:val="24"/>
        </w:rPr>
        <w:t xml:space="preserve"> argue that looking outside of courts and tribunals for an understanding of</w:t>
      </w:r>
      <w:r w:rsidR="00B767AC" w:rsidRPr="008F0070">
        <w:rPr>
          <w:rFonts w:ascii="Times New Roman" w:hAnsi="Times New Roman" w:cs="Times New Roman"/>
          <w:sz w:val="24"/>
          <w:szCs w:val="24"/>
        </w:rPr>
        <w:t xml:space="preserve"> the ways to delineate understandings of gender, </w:t>
      </w:r>
      <w:r w:rsidR="00443754">
        <w:rPr>
          <w:rFonts w:ascii="Times New Roman" w:hAnsi="Times New Roman" w:cs="Times New Roman"/>
          <w:sz w:val="24"/>
          <w:szCs w:val="24"/>
        </w:rPr>
        <w:t xml:space="preserve">particularly in an education setting, </w:t>
      </w:r>
      <w:r w:rsidR="00B767AC" w:rsidRPr="008F0070">
        <w:rPr>
          <w:rFonts w:ascii="Times New Roman" w:hAnsi="Times New Roman" w:cs="Times New Roman"/>
          <w:sz w:val="24"/>
          <w:szCs w:val="24"/>
        </w:rPr>
        <w:t>enables more plural and contradictory understandings of these terms.</w:t>
      </w:r>
      <w:r w:rsidR="00B767AC" w:rsidRPr="008F0070">
        <w:rPr>
          <w:rStyle w:val="FootnoteReference"/>
          <w:rFonts w:ascii="Times New Roman" w:hAnsi="Times New Roman" w:cs="Times New Roman"/>
          <w:sz w:val="24"/>
          <w:szCs w:val="24"/>
        </w:rPr>
        <w:footnoteReference w:id="94"/>
      </w:r>
    </w:p>
    <w:p w14:paraId="5F3ACF7B" w14:textId="77777777" w:rsidR="00B767AC" w:rsidRPr="008F0070" w:rsidRDefault="00B767AC" w:rsidP="00443754">
      <w:pPr>
        <w:spacing w:after="0" w:line="360" w:lineRule="auto"/>
        <w:rPr>
          <w:rFonts w:ascii="Times New Roman" w:hAnsi="Times New Roman" w:cs="Times New Roman"/>
          <w:sz w:val="24"/>
          <w:szCs w:val="24"/>
        </w:rPr>
      </w:pPr>
    </w:p>
    <w:p w14:paraId="6E36942C" w14:textId="15A015DC" w:rsidR="00B767AC" w:rsidRDefault="00B767AC" w:rsidP="00443754">
      <w:pPr>
        <w:spacing w:after="0" w:line="360" w:lineRule="auto"/>
        <w:rPr>
          <w:rFonts w:ascii="Times New Roman" w:hAnsi="Times New Roman" w:cs="Times New Roman"/>
          <w:sz w:val="24"/>
          <w:szCs w:val="24"/>
        </w:rPr>
      </w:pPr>
      <w:r w:rsidRPr="008F0070">
        <w:rPr>
          <w:rFonts w:ascii="Times New Roman" w:hAnsi="Times New Roman" w:cs="Times New Roman"/>
          <w:sz w:val="24"/>
          <w:szCs w:val="24"/>
        </w:rPr>
        <w:t>The question of the gender binary, and the tension that exists within trans legal s</w:t>
      </w:r>
      <w:r>
        <w:rPr>
          <w:rFonts w:ascii="Times New Roman" w:hAnsi="Times New Roman" w:cs="Times New Roman"/>
          <w:sz w:val="24"/>
          <w:szCs w:val="24"/>
        </w:rPr>
        <w:t>tudies between those who have fought hard for a gendered posi</w:t>
      </w:r>
      <w:r w:rsidR="004E2255">
        <w:rPr>
          <w:rFonts w:ascii="Times New Roman" w:hAnsi="Times New Roman" w:cs="Times New Roman"/>
          <w:sz w:val="24"/>
          <w:szCs w:val="24"/>
        </w:rPr>
        <w:t>tion within the gender</w:t>
      </w:r>
      <w:r w:rsidR="008100C5">
        <w:rPr>
          <w:rFonts w:ascii="Times New Roman" w:hAnsi="Times New Roman" w:cs="Times New Roman"/>
          <w:sz w:val="24"/>
          <w:szCs w:val="24"/>
        </w:rPr>
        <w:t xml:space="preserve"> binary</w:t>
      </w:r>
      <w:r>
        <w:rPr>
          <w:rFonts w:ascii="Times New Roman" w:hAnsi="Times New Roman" w:cs="Times New Roman"/>
          <w:sz w:val="24"/>
          <w:szCs w:val="24"/>
        </w:rPr>
        <w:t xml:space="preserve"> and those who</w:t>
      </w:r>
      <w:r w:rsidR="008100C5">
        <w:rPr>
          <w:rFonts w:ascii="Times New Roman" w:hAnsi="Times New Roman" w:cs="Times New Roman"/>
          <w:sz w:val="24"/>
          <w:szCs w:val="24"/>
        </w:rPr>
        <w:t xml:space="preserve"> see gender as fluid or position themselves outside the binary, </w:t>
      </w:r>
      <w:r w:rsidR="004E2255">
        <w:rPr>
          <w:rFonts w:ascii="Times New Roman" w:hAnsi="Times New Roman" w:cs="Times New Roman"/>
          <w:sz w:val="24"/>
          <w:szCs w:val="24"/>
        </w:rPr>
        <w:t>are</w:t>
      </w:r>
      <w:r>
        <w:rPr>
          <w:rFonts w:ascii="Times New Roman" w:hAnsi="Times New Roman" w:cs="Times New Roman"/>
          <w:sz w:val="24"/>
          <w:szCs w:val="24"/>
        </w:rPr>
        <w:t xml:space="preserve"> also explored in this volume with care and with rigour.</w:t>
      </w:r>
      <w:r>
        <w:rPr>
          <w:rStyle w:val="FootnoteReference"/>
          <w:rFonts w:ascii="Times New Roman" w:hAnsi="Times New Roman" w:cs="Times New Roman"/>
          <w:sz w:val="24"/>
          <w:szCs w:val="24"/>
        </w:rPr>
        <w:footnoteReference w:id="95"/>
      </w:r>
      <w:r>
        <w:rPr>
          <w:rFonts w:ascii="Times New Roman" w:hAnsi="Times New Roman" w:cs="Times New Roman"/>
          <w:sz w:val="24"/>
          <w:szCs w:val="24"/>
        </w:rPr>
        <w:t xml:space="preserve"> In Laidlaw’s analysis of differing accommodation models for trans students at university seeking housing, even the most progressive attempts to seek inclusive </w:t>
      </w:r>
      <w:r>
        <w:rPr>
          <w:rFonts w:ascii="Times New Roman" w:hAnsi="Times New Roman" w:cs="Times New Roman"/>
          <w:sz w:val="24"/>
          <w:szCs w:val="24"/>
        </w:rPr>
        <w:lastRenderedPageBreak/>
        <w:t xml:space="preserve">solutions risk non-inclusion of those whose gender is fluid, and for whom the increased cost and isolation </w:t>
      </w:r>
      <w:r w:rsidR="004E2255">
        <w:rPr>
          <w:rFonts w:ascii="Times New Roman" w:hAnsi="Times New Roman" w:cs="Times New Roman"/>
          <w:sz w:val="24"/>
          <w:szCs w:val="24"/>
        </w:rPr>
        <w:t>of rooming alone is problematic</w:t>
      </w:r>
      <w:r>
        <w:rPr>
          <w:rFonts w:ascii="Times New Roman" w:hAnsi="Times New Roman" w:cs="Times New Roman"/>
          <w:sz w:val="24"/>
          <w:szCs w:val="24"/>
        </w:rPr>
        <w:t xml:space="preserve"> too.</w:t>
      </w:r>
      <w:r>
        <w:rPr>
          <w:rStyle w:val="FootnoteReference"/>
          <w:rFonts w:ascii="Times New Roman" w:hAnsi="Times New Roman" w:cs="Times New Roman"/>
          <w:sz w:val="24"/>
          <w:szCs w:val="24"/>
        </w:rPr>
        <w:footnoteReference w:id="96"/>
      </w:r>
    </w:p>
    <w:p w14:paraId="3EDF4ACE" w14:textId="77777777" w:rsidR="00B767AC" w:rsidRDefault="00B767AC" w:rsidP="009B21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7458D31" w14:textId="1CCA1160" w:rsidR="00B767AC" w:rsidRDefault="00B767AC" w:rsidP="009B21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Florence Ashley shines a direct spotlight on the gender binary in </w:t>
      </w:r>
      <w:r w:rsidR="000263DC">
        <w:rPr>
          <w:rFonts w:ascii="Times New Roman" w:hAnsi="Times New Roman" w:cs="Times New Roman"/>
          <w:sz w:val="24"/>
          <w:szCs w:val="24"/>
        </w:rPr>
        <w:t>t</w:t>
      </w:r>
      <w:r>
        <w:rPr>
          <w:rFonts w:ascii="Times New Roman" w:hAnsi="Times New Roman" w:cs="Times New Roman"/>
          <w:sz w:val="24"/>
          <w:szCs w:val="24"/>
        </w:rPr>
        <w:t>he</w:t>
      </w:r>
      <w:r w:rsidR="000263DC">
        <w:rPr>
          <w:rFonts w:ascii="Times New Roman" w:hAnsi="Times New Roman" w:cs="Times New Roman"/>
          <w:sz w:val="24"/>
          <w:szCs w:val="24"/>
        </w:rPr>
        <w:t>i</w:t>
      </w:r>
      <w:r>
        <w:rPr>
          <w:rFonts w:ascii="Times New Roman" w:hAnsi="Times New Roman" w:cs="Times New Roman"/>
          <w:sz w:val="24"/>
          <w:szCs w:val="24"/>
        </w:rPr>
        <w:t>r</w:t>
      </w:r>
      <w:r w:rsidR="00644076">
        <w:rPr>
          <w:rFonts w:ascii="Times New Roman" w:hAnsi="Times New Roman" w:cs="Times New Roman"/>
          <w:sz w:val="24"/>
          <w:szCs w:val="24"/>
        </w:rPr>
        <w:t xml:space="preserve"> autoethnographic examination of the trans legal subject, situating </w:t>
      </w:r>
      <w:r w:rsidR="000263DC">
        <w:rPr>
          <w:rFonts w:ascii="Times New Roman" w:hAnsi="Times New Roman" w:cs="Times New Roman"/>
          <w:sz w:val="24"/>
          <w:szCs w:val="24"/>
        </w:rPr>
        <w:t>t</w:t>
      </w:r>
      <w:r w:rsidR="00644076">
        <w:rPr>
          <w:rFonts w:ascii="Times New Roman" w:hAnsi="Times New Roman" w:cs="Times New Roman"/>
          <w:sz w:val="24"/>
          <w:szCs w:val="24"/>
        </w:rPr>
        <w:t>he</w:t>
      </w:r>
      <w:r w:rsidR="000263DC">
        <w:rPr>
          <w:rFonts w:ascii="Times New Roman" w:hAnsi="Times New Roman" w:cs="Times New Roman"/>
          <w:sz w:val="24"/>
          <w:szCs w:val="24"/>
        </w:rPr>
        <w:t>i</w:t>
      </w:r>
      <w:r w:rsidR="00644076">
        <w:rPr>
          <w:rFonts w:ascii="Times New Roman" w:hAnsi="Times New Roman" w:cs="Times New Roman"/>
          <w:sz w:val="24"/>
          <w:szCs w:val="24"/>
        </w:rPr>
        <w:t>r analysis in both the law</w:t>
      </w:r>
      <w:r w:rsidR="000263DC">
        <w:rPr>
          <w:rFonts w:ascii="Times New Roman" w:hAnsi="Times New Roman" w:cs="Times New Roman"/>
          <w:sz w:val="24"/>
          <w:szCs w:val="24"/>
        </w:rPr>
        <w:t xml:space="preserve"> and the language of Quebec. </w:t>
      </w:r>
      <w:r w:rsidR="005027C9">
        <w:rPr>
          <w:rFonts w:ascii="Times New Roman" w:hAnsi="Times New Roman" w:cs="Times New Roman"/>
          <w:sz w:val="24"/>
          <w:szCs w:val="24"/>
        </w:rPr>
        <w:t>Ashley</w:t>
      </w:r>
      <w:r w:rsidR="000263DC">
        <w:rPr>
          <w:rFonts w:ascii="Times New Roman" w:hAnsi="Times New Roman" w:cs="Times New Roman"/>
          <w:sz w:val="24"/>
          <w:szCs w:val="24"/>
        </w:rPr>
        <w:t xml:space="preserve"> take</w:t>
      </w:r>
      <w:r w:rsidR="005027C9">
        <w:rPr>
          <w:rFonts w:ascii="Times New Roman" w:hAnsi="Times New Roman" w:cs="Times New Roman"/>
          <w:sz w:val="24"/>
          <w:szCs w:val="24"/>
        </w:rPr>
        <w:t>s</w:t>
      </w:r>
      <w:r w:rsidR="00644076">
        <w:rPr>
          <w:rFonts w:ascii="Times New Roman" w:hAnsi="Times New Roman" w:cs="Times New Roman"/>
          <w:sz w:val="24"/>
          <w:szCs w:val="24"/>
        </w:rPr>
        <w:t xml:space="preserve"> a careful look at two models for inclusion – medical and minoritizing models –</w:t>
      </w:r>
      <w:r w:rsidR="000263DC">
        <w:rPr>
          <w:rFonts w:ascii="Times New Roman" w:hAnsi="Times New Roman" w:cs="Times New Roman"/>
          <w:sz w:val="24"/>
          <w:szCs w:val="24"/>
        </w:rPr>
        <w:t xml:space="preserve"> and show</w:t>
      </w:r>
      <w:r w:rsidR="002D551C">
        <w:rPr>
          <w:rFonts w:ascii="Times New Roman" w:hAnsi="Times New Roman" w:cs="Times New Roman"/>
          <w:sz w:val="24"/>
          <w:szCs w:val="24"/>
        </w:rPr>
        <w:t>s</w:t>
      </w:r>
      <w:r w:rsidR="006F25E0">
        <w:rPr>
          <w:rFonts w:ascii="Times New Roman" w:hAnsi="Times New Roman" w:cs="Times New Roman"/>
          <w:sz w:val="24"/>
          <w:szCs w:val="24"/>
        </w:rPr>
        <w:t xml:space="preserve"> that both </w:t>
      </w:r>
      <w:r w:rsidR="00644076">
        <w:rPr>
          <w:rFonts w:ascii="Times New Roman" w:hAnsi="Times New Roman" w:cs="Times New Roman"/>
          <w:sz w:val="24"/>
          <w:szCs w:val="24"/>
        </w:rPr>
        <w:t>render the trans body invisible, by creating bodies in need of correction against a cisgender ideal on the one hand, and by creating quintessentially marginalized subjects on the other.</w:t>
      </w:r>
      <w:r w:rsidR="00644076">
        <w:rPr>
          <w:rStyle w:val="FootnoteReference"/>
          <w:rFonts w:ascii="Times New Roman" w:hAnsi="Times New Roman" w:cs="Times New Roman"/>
          <w:sz w:val="24"/>
          <w:szCs w:val="24"/>
        </w:rPr>
        <w:footnoteReference w:id="97"/>
      </w:r>
      <w:r w:rsidR="00644076">
        <w:rPr>
          <w:rFonts w:ascii="Times New Roman" w:hAnsi="Times New Roman" w:cs="Times New Roman"/>
          <w:sz w:val="24"/>
          <w:szCs w:val="24"/>
        </w:rPr>
        <w:t xml:space="preserve"> </w:t>
      </w:r>
      <w:r w:rsidR="0015175A">
        <w:rPr>
          <w:rFonts w:ascii="Times New Roman" w:hAnsi="Times New Roman" w:cs="Times New Roman"/>
          <w:sz w:val="24"/>
          <w:szCs w:val="24"/>
        </w:rPr>
        <w:t xml:space="preserve">In </w:t>
      </w:r>
      <w:r w:rsidR="000263DC">
        <w:rPr>
          <w:rFonts w:ascii="Times New Roman" w:hAnsi="Times New Roman" w:cs="Times New Roman"/>
          <w:sz w:val="24"/>
          <w:szCs w:val="24"/>
        </w:rPr>
        <w:t>t</w:t>
      </w:r>
      <w:r w:rsidR="0015175A">
        <w:rPr>
          <w:rFonts w:ascii="Times New Roman" w:hAnsi="Times New Roman" w:cs="Times New Roman"/>
          <w:sz w:val="24"/>
          <w:szCs w:val="24"/>
        </w:rPr>
        <w:t>he</w:t>
      </w:r>
      <w:r w:rsidR="000263DC">
        <w:rPr>
          <w:rFonts w:ascii="Times New Roman" w:hAnsi="Times New Roman" w:cs="Times New Roman"/>
          <w:sz w:val="24"/>
          <w:szCs w:val="24"/>
        </w:rPr>
        <w:t>i</w:t>
      </w:r>
      <w:r w:rsidR="0015175A">
        <w:rPr>
          <w:rFonts w:ascii="Times New Roman" w:hAnsi="Times New Roman" w:cs="Times New Roman"/>
          <w:sz w:val="24"/>
          <w:szCs w:val="24"/>
        </w:rPr>
        <w:t xml:space="preserve">r view we </w:t>
      </w:r>
      <w:r w:rsidR="00EC6018">
        <w:rPr>
          <w:rFonts w:ascii="Times New Roman" w:hAnsi="Times New Roman" w:cs="Times New Roman"/>
          <w:sz w:val="24"/>
          <w:szCs w:val="24"/>
        </w:rPr>
        <w:t xml:space="preserve">readers </w:t>
      </w:r>
      <w:r w:rsidR="0015175A">
        <w:rPr>
          <w:rFonts w:ascii="Times New Roman" w:hAnsi="Times New Roman" w:cs="Times New Roman"/>
          <w:sz w:val="24"/>
          <w:szCs w:val="24"/>
        </w:rPr>
        <w:t>should replace the concept of gender identity with “gender modality” within anti-discrimination law, to fight the myth that gender identity is the province of trans people, and simultaneously remove “sex” as a juridical and administrative category.</w:t>
      </w:r>
      <w:r w:rsidR="0015175A">
        <w:rPr>
          <w:rStyle w:val="FootnoteReference"/>
          <w:rFonts w:ascii="Times New Roman" w:hAnsi="Times New Roman" w:cs="Times New Roman"/>
          <w:sz w:val="24"/>
          <w:szCs w:val="24"/>
        </w:rPr>
        <w:footnoteReference w:id="98"/>
      </w:r>
    </w:p>
    <w:p w14:paraId="624647CC" w14:textId="77777777" w:rsidR="0015175A" w:rsidRDefault="0015175A" w:rsidP="009B2186">
      <w:pPr>
        <w:spacing w:after="0" w:line="360" w:lineRule="auto"/>
        <w:rPr>
          <w:rFonts w:ascii="Times New Roman" w:hAnsi="Times New Roman" w:cs="Times New Roman"/>
          <w:sz w:val="24"/>
          <w:szCs w:val="24"/>
        </w:rPr>
      </w:pPr>
    </w:p>
    <w:p w14:paraId="3D3D4363" w14:textId="1895D44A" w:rsidR="0015175A" w:rsidRDefault="0015175A" w:rsidP="009B2186">
      <w:pPr>
        <w:spacing w:after="0" w:line="360" w:lineRule="auto"/>
        <w:rPr>
          <w:rFonts w:ascii="Times New Roman" w:hAnsi="Times New Roman" w:cs="Times New Roman"/>
          <w:sz w:val="24"/>
          <w:szCs w:val="24"/>
        </w:rPr>
      </w:pPr>
      <w:r>
        <w:rPr>
          <w:rFonts w:ascii="Times New Roman" w:hAnsi="Times New Roman" w:cs="Times New Roman"/>
          <w:sz w:val="24"/>
          <w:szCs w:val="24"/>
        </w:rPr>
        <w:t>And finally</w:t>
      </w:r>
      <w:r w:rsidR="00B12FB4">
        <w:rPr>
          <w:rFonts w:ascii="Times New Roman" w:hAnsi="Times New Roman" w:cs="Times New Roman"/>
          <w:sz w:val="24"/>
          <w:szCs w:val="24"/>
        </w:rPr>
        <w:t xml:space="preserve"> here</w:t>
      </w:r>
      <w:r>
        <w:rPr>
          <w:rFonts w:ascii="Times New Roman" w:hAnsi="Times New Roman" w:cs="Times New Roman"/>
          <w:sz w:val="24"/>
          <w:szCs w:val="24"/>
        </w:rPr>
        <w:t xml:space="preserve">, the volume looks at issues of trans people across ages from the important work of banning conversion therapy for youth, through the issues faced by trans people living with dementia facing end of life questions about care and identity.  In the keynote, however, Namaste and </w:t>
      </w:r>
      <w:proofErr w:type="spellStart"/>
      <w:r>
        <w:rPr>
          <w:rFonts w:ascii="Times New Roman" w:hAnsi="Times New Roman" w:cs="Times New Roman"/>
          <w:sz w:val="24"/>
          <w:szCs w:val="24"/>
        </w:rPr>
        <w:t>Tourki</w:t>
      </w:r>
      <w:proofErr w:type="spellEnd"/>
      <w:r>
        <w:rPr>
          <w:rFonts w:ascii="Times New Roman" w:hAnsi="Times New Roman" w:cs="Times New Roman"/>
          <w:sz w:val="24"/>
          <w:szCs w:val="24"/>
        </w:rPr>
        <w:t xml:space="preserve"> raise the issue of </w:t>
      </w:r>
      <w:r w:rsidR="00555F5B">
        <w:rPr>
          <w:rFonts w:ascii="Times New Roman" w:hAnsi="Times New Roman" w:cs="Times New Roman"/>
          <w:sz w:val="24"/>
          <w:szCs w:val="24"/>
        </w:rPr>
        <w:t>the foc</w:t>
      </w:r>
      <w:r w:rsidR="00DB008B">
        <w:rPr>
          <w:rFonts w:ascii="Times New Roman" w:hAnsi="Times New Roman" w:cs="Times New Roman"/>
          <w:sz w:val="24"/>
          <w:szCs w:val="24"/>
        </w:rPr>
        <w:t>us on trans youth.  They assert:</w:t>
      </w:r>
    </w:p>
    <w:p w14:paraId="724F047A" w14:textId="77777777" w:rsidR="00555F5B" w:rsidRPr="00555F5B" w:rsidRDefault="00555F5B" w:rsidP="00555F5B">
      <w:pPr>
        <w:autoSpaceDE w:val="0"/>
        <w:autoSpaceDN w:val="0"/>
        <w:adjustRightInd w:val="0"/>
        <w:spacing w:after="0" w:line="240" w:lineRule="auto"/>
        <w:ind w:left="720"/>
        <w:rPr>
          <w:rFonts w:ascii="Times New Roman" w:hAnsi="Times New Roman" w:cs="Times New Roman"/>
          <w:sz w:val="24"/>
          <w:szCs w:val="24"/>
        </w:rPr>
      </w:pPr>
      <w:r>
        <w:rPr>
          <w:rFonts w:ascii="AdvOT1ef757c0" w:hAnsi="AdvOT1ef757c0" w:cs="AdvOT1ef757c0"/>
          <w:sz w:val="20"/>
          <w:szCs w:val="20"/>
        </w:rPr>
        <w:br/>
      </w:r>
      <w:r w:rsidRPr="00555F5B">
        <w:rPr>
          <w:rFonts w:ascii="Times New Roman" w:hAnsi="Times New Roman" w:cs="Times New Roman"/>
          <w:sz w:val="24"/>
          <w:szCs w:val="24"/>
        </w:rPr>
        <w:t xml:space="preserve">Unfortunately, it’s only when trans youth are in the picture that people tend to become invested in a debate or a conversation about trans people. In that debate, on the one hand, you have trans people and allies who fervently advocate for </w:t>
      </w:r>
      <w:r>
        <w:rPr>
          <w:rFonts w:ascii="Times New Roman" w:hAnsi="Times New Roman" w:cs="Times New Roman"/>
          <w:sz w:val="24"/>
          <w:szCs w:val="24"/>
        </w:rPr>
        <w:t>‘</w:t>
      </w:r>
      <w:r w:rsidRPr="00555F5B">
        <w:rPr>
          <w:rFonts w:ascii="Times New Roman" w:hAnsi="Times New Roman" w:cs="Times New Roman"/>
          <w:sz w:val="24"/>
          <w:szCs w:val="24"/>
        </w:rPr>
        <w:t>saving the child</w:t>
      </w:r>
      <w:r>
        <w:rPr>
          <w:rFonts w:ascii="Times New Roman" w:hAnsi="Times New Roman" w:cs="Times New Roman"/>
          <w:sz w:val="24"/>
          <w:szCs w:val="24"/>
        </w:rPr>
        <w:t>’</w:t>
      </w:r>
      <w:r w:rsidRPr="00555F5B">
        <w:rPr>
          <w:rFonts w:ascii="Times New Roman" w:hAnsi="Times New Roman" w:cs="Times New Roman"/>
          <w:sz w:val="24"/>
          <w:szCs w:val="24"/>
        </w:rPr>
        <w:t xml:space="preserve"> by supporting and affirming trans youth’s identities and journeys. On the other hand, you have anti-trans people who also want to </w:t>
      </w:r>
      <w:r>
        <w:rPr>
          <w:rFonts w:ascii="Times New Roman" w:hAnsi="Times New Roman" w:cs="Times New Roman"/>
          <w:sz w:val="24"/>
          <w:szCs w:val="24"/>
        </w:rPr>
        <w:t>‘</w:t>
      </w:r>
      <w:r w:rsidRPr="00555F5B">
        <w:rPr>
          <w:rFonts w:ascii="Times New Roman" w:hAnsi="Times New Roman" w:cs="Times New Roman"/>
          <w:sz w:val="24"/>
          <w:szCs w:val="24"/>
        </w:rPr>
        <w:t>save the child,</w:t>
      </w:r>
      <w:r>
        <w:rPr>
          <w:rFonts w:ascii="Times New Roman" w:hAnsi="Times New Roman" w:cs="Times New Roman"/>
          <w:sz w:val="24"/>
          <w:szCs w:val="24"/>
        </w:rPr>
        <w:t>’</w:t>
      </w:r>
      <w:r w:rsidRPr="00555F5B">
        <w:rPr>
          <w:rFonts w:ascii="Times New Roman" w:hAnsi="Times New Roman" w:cs="Times New Roman"/>
          <w:sz w:val="24"/>
          <w:szCs w:val="24"/>
        </w:rPr>
        <w:t xml:space="preserve"> but to save them from trans people and from the so-called </w:t>
      </w:r>
      <w:r>
        <w:rPr>
          <w:rFonts w:ascii="Times New Roman" w:hAnsi="Times New Roman" w:cs="Times New Roman"/>
          <w:sz w:val="24"/>
          <w:szCs w:val="24"/>
        </w:rPr>
        <w:t>‘</w:t>
      </w:r>
      <w:r w:rsidRPr="00555F5B">
        <w:rPr>
          <w:rFonts w:ascii="Times New Roman" w:hAnsi="Times New Roman" w:cs="Times New Roman"/>
          <w:sz w:val="24"/>
          <w:szCs w:val="24"/>
        </w:rPr>
        <w:t>trans agenda.</w:t>
      </w:r>
      <w:r>
        <w:rPr>
          <w:rFonts w:ascii="Times New Roman" w:hAnsi="Times New Roman" w:cs="Times New Roman"/>
          <w:sz w:val="24"/>
          <w:szCs w:val="24"/>
        </w:rPr>
        <w:t>’</w:t>
      </w:r>
      <w:r w:rsidRPr="00555F5B">
        <w:rPr>
          <w:rFonts w:ascii="Times New Roman" w:hAnsi="Times New Roman" w:cs="Times New Roman"/>
          <w:sz w:val="24"/>
          <w:szCs w:val="24"/>
        </w:rPr>
        <w:t xml:space="preserve"> What the two sides agree on is that the child needs to be saved. The questions that I ask are: where were all the supporters and the allies when the child was out of the picture? Where were that allyship and solidarity before trans youth became the face of the trans movement? Trans history tells us that there have been—and still are—other faces to trans existence. For a long time, trans sex workers were the face of the movement. Other times, although stereotypically and in an effort by the media to ridicule trans women, trans women who don’t pass have been the </w:t>
      </w:r>
      <w:r w:rsidRPr="00555F5B">
        <w:rPr>
          <w:rFonts w:ascii="Times New Roman" w:hAnsi="Times New Roman" w:cs="Times New Roman"/>
          <w:sz w:val="24"/>
          <w:szCs w:val="24"/>
        </w:rPr>
        <w:lastRenderedPageBreak/>
        <w:t>face of the trans existence. However, it seems to me that allyship and solidarity from cis people did not happen until— unless?—trans youth became centred.</w:t>
      </w:r>
      <w:r>
        <w:rPr>
          <w:rStyle w:val="FootnoteReference"/>
          <w:rFonts w:ascii="Times New Roman" w:hAnsi="Times New Roman" w:cs="Times New Roman"/>
          <w:sz w:val="24"/>
          <w:szCs w:val="24"/>
        </w:rPr>
        <w:footnoteReference w:id="99"/>
      </w:r>
    </w:p>
    <w:p w14:paraId="5C6BC284" w14:textId="77777777" w:rsidR="004C25E3" w:rsidRDefault="004C25E3" w:rsidP="00BC272D">
      <w:pPr>
        <w:spacing w:after="0" w:line="360" w:lineRule="auto"/>
        <w:rPr>
          <w:rFonts w:ascii="Times New Roman" w:hAnsi="Times New Roman" w:cs="Times New Roman"/>
          <w:sz w:val="24"/>
          <w:szCs w:val="24"/>
        </w:rPr>
      </w:pPr>
    </w:p>
    <w:p w14:paraId="2D122815" w14:textId="13C1D497" w:rsidR="00555F5B" w:rsidRPr="00B73AAE" w:rsidRDefault="00B73AAE" w:rsidP="00B73AAE">
      <w:pPr>
        <w:autoSpaceDE w:val="0"/>
        <w:autoSpaceDN w:val="0"/>
        <w:adjustRightInd w:val="0"/>
        <w:spacing w:after="0" w:line="360" w:lineRule="auto"/>
        <w:rPr>
          <w:rFonts w:ascii="Times New Roman" w:hAnsi="Times New Roman" w:cs="Times New Roman"/>
          <w:sz w:val="24"/>
          <w:szCs w:val="24"/>
        </w:rPr>
      </w:pPr>
      <w:r w:rsidRPr="00B73AAE">
        <w:rPr>
          <w:rFonts w:ascii="Times New Roman" w:hAnsi="Times New Roman" w:cs="Times New Roman"/>
          <w:sz w:val="24"/>
          <w:szCs w:val="24"/>
        </w:rPr>
        <w:t xml:space="preserve">The question that Namaste and </w:t>
      </w:r>
      <w:proofErr w:type="spellStart"/>
      <w:r w:rsidRPr="00B73AAE">
        <w:rPr>
          <w:rFonts w:ascii="Times New Roman" w:hAnsi="Times New Roman" w:cs="Times New Roman"/>
          <w:sz w:val="24"/>
          <w:szCs w:val="24"/>
        </w:rPr>
        <w:t>Tourki</w:t>
      </w:r>
      <w:proofErr w:type="spellEnd"/>
      <w:r w:rsidRPr="00B73AAE">
        <w:rPr>
          <w:rFonts w:ascii="Times New Roman" w:hAnsi="Times New Roman" w:cs="Times New Roman"/>
          <w:sz w:val="24"/>
          <w:szCs w:val="24"/>
        </w:rPr>
        <w:t xml:space="preserve"> pos</w:t>
      </w:r>
      <w:r w:rsidR="00B12FB4">
        <w:rPr>
          <w:rFonts w:ascii="Times New Roman" w:hAnsi="Times New Roman" w:cs="Times New Roman"/>
          <w:sz w:val="24"/>
          <w:szCs w:val="24"/>
        </w:rPr>
        <w:t>e is a good one, notwithstanding</w:t>
      </w:r>
      <w:r w:rsidRPr="00B73AAE">
        <w:rPr>
          <w:rFonts w:ascii="Times New Roman" w:hAnsi="Times New Roman" w:cs="Times New Roman"/>
          <w:sz w:val="24"/>
          <w:szCs w:val="24"/>
        </w:rPr>
        <w:t xml:space="preserve"> that the issues of trans youth, and in particular racialized, Indigenous, immigrant and poor trans youth, are</w:t>
      </w:r>
      <w:r w:rsidR="00B12FB4">
        <w:rPr>
          <w:rFonts w:ascii="Times New Roman" w:hAnsi="Times New Roman" w:cs="Times New Roman"/>
          <w:sz w:val="24"/>
          <w:szCs w:val="24"/>
        </w:rPr>
        <w:t xml:space="preserve"> important areas of study.  They query what it could look like</w:t>
      </w:r>
      <w:r w:rsidRPr="00B73AAE">
        <w:rPr>
          <w:rFonts w:ascii="Times New Roman" w:hAnsi="Times New Roman" w:cs="Times New Roman"/>
          <w:sz w:val="24"/>
          <w:szCs w:val="24"/>
        </w:rPr>
        <w:t xml:space="preserve"> </w:t>
      </w:r>
      <w:r w:rsidR="00B12FB4">
        <w:rPr>
          <w:rFonts w:ascii="Times New Roman" w:hAnsi="Times New Roman" w:cs="Times New Roman"/>
          <w:sz w:val="24"/>
          <w:szCs w:val="24"/>
        </w:rPr>
        <w:t>if</w:t>
      </w:r>
      <w:r w:rsidRPr="00B73AAE">
        <w:rPr>
          <w:rFonts w:ascii="Times New Roman" w:hAnsi="Times New Roman" w:cs="Times New Roman"/>
          <w:sz w:val="24"/>
          <w:szCs w:val="24"/>
        </w:rPr>
        <w:t xml:space="preserve"> researchers </w:t>
      </w:r>
      <w:r w:rsidR="00B12FB4">
        <w:rPr>
          <w:rFonts w:ascii="Times New Roman" w:hAnsi="Times New Roman" w:cs="Times New Roman"/>
          <w:sz w:val="24"/>
          <w:szCs w:val="24"/>
        </w:rPr>
        <w:t xml:space="preserve">were </w:t>
      </w:r>
      <w:r w:rsidRPr="00B73AAE">
        <w:rPr>
          <w:rFonts w:ascii="Times New Roman" w:hAnsi="Times New Roman" w:cs="Times New Roman"/>
          <w:sz w:val="24"/>
          <w:szCs w:val="24"/>
        </w:rPr>
        <w:t>to “zoom out” and cons</w:t>
      </w:r>
      <w:r w:rsidR="00B12FB4">
        <w:rPr>
          <w:rFonts w:ascii="Times New Roman" w:hAnsi="Times New Roman" w:cs="Times New Roman"/>
          <w:sz w:val="24"/>
          <w:szCs w:val="24"/>
        </w:rPr>
        <w:t>ider “</w:t>
      </w:r>
      <w:r w:rsidRPr="00B73AAE">
        <w:rPr>
          <w:rFonts w:ascii="Times New Roman" w:hAnsi="Times New Roman" w:cs="Times New Roman"/>
          <w:sz w:val="24"/>
          <w:szCs w:val="24"/>
        </w:rPr>
        <w:t>trans i</w:t>
      </w:r>
      <w:r w:rsidR="00B12FB4">
        <w:rPr>
          <w:rFonts w:ascii="Times New Roman" w:hAnsi="Times New Roman" w:cs="Times New Roman"/>
          <w:sz w:val="24"/>
          <w:szCs w:val="24"/>
        </w:rPr>
        <w:t xml:space="preserve">ssues </w:t>
      </w:r>
      <w:r w:rsidR="00E32750">
        <w:rPr>
          <w:rFonts w:ascii="Times New Roman" w:hAnsi="Times New Roman" w:cs="Times New Roman"/>
          <w:sz w:val="24"/>
          <w:szCs w:val="24"/>
        </w:rPr>
        <w:t>that don’t begin with [youth</w:t>
      </w:r>
      <w:r w:rsidR="00B12FB4">
        <w:rPr>
          <w:rFonts w:ascii="Times New Roman" w:hAnsi="Times New Roman" w:cs="Times New Roman"/>
          <w:sz w:val="24"/>
          <w:szCs w:val="24"/>
        </w:rPr>
        <w:t>]</w:t>
      </w:r>
      <w:r w:rsidRPr="00B73AAE">
        <w:rPr>
          <w:rFonts w:ascii="Times New Roman" w:hAnsi="Times New Roman" w:cs="Times New Roman"/>
          <w:sz w:val="24"/>
          <w:szCs w:val="24"/>
        </w:rPr>
        <w:t xml:space="preserve"> as an object of study. What might that produce?</w:t>
      </w:r>
      <w:r w:rsidR="00B12FB4">
        <w:rPr>
          <w:rFonts w:ascii="Times New Roman" w:hAnsi="Times New Roman" w:cs="Times New Roman"/>
          <w:sz w:val="24"/>
          <w:szCs w:val="24"/>
        </w:rPr>
        <w:t>”</w:t>
      </w:r>
      <w:r w:rsidR="00E32750">
        <w:rPr>
          <w:rStyle w:val="FootnoteReference"/>
          <w:rFonts w:ascii="Times New Roman" w:hAnsi="Times New Roman" w:cs="Times New Roman"/>
          <w:sz w:val="24"/>
          <w:szCs w:val="24"/>
        </w:rPr>
        <w:footnoteReference w:id="100"/>
      </w:r>
      <w:r>
        <w:rPr>
          <w:rFonts w:ascii="Times New Roman" w:hAnsi="Times New Roman" w:cs="Times New Roman"/>
          <w:sz w:val="24"/>
          <w:szCs w:val="24"/>
        </w:rPr>
        <w:t xml:space="preserve">  In so many ways, that is what the authors of this volume do, even in the context of the one article more focused on the issues of youth, Jake </w:t>
      </w:r>
      <w:proofErr w:type="spellStart"/>
      <w:r>
        <w:rPr>
          <w:rFonts w:ascii="Times New Roman" w:hAnsi="Times New Roman" w:cs="Times New Roman"/>
          <w:sz w:val="24"/>
          <w:szCs w:val="24"/>
        </w:rPr>
        <w:t>Pyne’s</w:t>
      </w:r>
      <w:proofErr w:type="spellEnd"/>
      <w:r>
        <w:rPr>
          <w:rFonts w:ascii="Times New Roman" w:hAnsi="Times New Roman" w:cs="Times New Roman"/>
          <w:sz w:val="24"/>
          <w:szCs w:val="24"/>
        </w:rPr>
        <w:t xml:space="preserve"> study, complicating what it means to look at trans youth without focused attention on ableism and the pathologizing of disability.</w:t>
      </w:r>
    </w:p>
    <w:p w14:paraId="2C987736" w14:textId="77777777" w:rsidR="004C25E3" w:rsidRPr="00B73AAE" w:rsidRDefault="004C25E3" w:rsidP="00B73AAE">
      <w:pPr>
        <w:spacing w:after="0" w:line="360" w:lineRule="auto"/>
        <w:rPr>
          <w:rFonts w:ascii="Times New Roman" w:hAnsi="Times New Roman" w:cs="Times New Roman"/>
          <w:sz w:val="24"/>
          <w:szCs w:val="24"/>
        </w:rPr>
      </w:pPr>
      <w:r w:rsidRPr="00B73AAE">
        <w:rPr>
          <w:rFonts w:ascii="Times New Roman" w:hAnsi="Times New Roman" w:cs="Times New Roman"/>
          <w:sz w:val="24"/>
          <w:szCs w:val="24"/>
        </w:rPr>
        <w:tab/>
      </w:r>
    </w:p>
    <w:p w14:paraId="6672BFD1" w14:textId="54AB0C94" w:rsidR="0006133D" w:rsidRDefault="0006133D" w:rsidP="00DB008B">
      <w:pPr>
        <w:pStyle w:val="Heading2"/>
      </w:pPr>
      <w:r w:rsidRPr="009B2186">
        <w:t xml:space="preserve">The </w:t>
      </w:r>
      <w:proofErr w:type="spellStart"/>
      <w:r w:rsidRPr="009B2186">
        <w:t>Tentacular</w:t>
      </w:r>
      <w:proofErr w:type="spellEnd"/>
      <w:r w:rsidRPr="009B2186">
        <w:t xml:space="preserve">: </w:t>
      </w:r>
      <w:r w:rsidR="00FB7247" w:rsidRPr="009B2186">
        <w:t xml:space="preserve">Far-reaching and </w:t>
      </w:r>
      <w:r w:rsidR="00E32750">
        <w:t>(</w:t>
      </w:r>
      <w:r w:rsidR="00FB7247" w:rsidRPr="009B2186">
        <w:t>In</w:t>
      </w:r>
      <w:r w:rsidR="00E32750">
        <w:t>)</w:t>
      </w:r>
      <w:r w:rsidR="00FB7247" w:rsidRPr="009B2186">
        <w:t>dependent</w:t>
      </w:r>
    </w:p>
    <w:p w14:paraId="5B35A4F1" w14:textId="77777777" w:rsidR="00DE299F" w:rsidRPr="00DE299F" w:rsidRDefault="00DE299F" w:rsidP="00DE299F">
      <w:pPr>
        <w:autoSpaceDE w:val="0"/>
        <w:autoSpaceDN w:val="0"/>
        <w:adjustRightInd w:val="0"/>
        <w:spacing w:after="0" w:line="240" w:lineRule="auto"/>
        <w:ind w:left="720"/>
        <w:rPr>
          <w:rFonts w:ascii="Times New Roman" w:hAnsi="Times New Roman" w:cs="Times New Roman"/>
          <w:color w:val="000000"/>
          <w:sz w:val="24"/>
          <w:szCs w:val="24"/>
        </w:rPr>
      </w:pPr>
      <w:r w:rsidRPr="00DE299F">
        <w:rPr>
          <w:rFonts w:ascii="Times New Roman" w:hAnsi="Times New Roman" w:cs="Times New Roman"/>
          <w:i/>
          <w:color w:val="000000"/>
          <w:sz w:val="24"/>
          <w:szCs w:val="24"/>
        </w:rPr>
        <w:t>Speaking from experience, a lot of people will come to the organization where I work seeking legal help, but unfortunately, the law, even though it protects our communities, is s</w:t>
      </w:r>
      <w:r>
        <w:rPr>
          <w:rFonts w:ascii="Times New Roman" w:hAnsi="Times New Roman" w:cs="Times New Roman"/>
          <w:i/>
          <w:color w:val="000000"/>
          <w:sz w:val="24"/>
          <w:szCs w:val="24"/>
        </w:rPr>
        <w:t xml:space="preserve">till not accessible. We need to </w:t>
      </w:r>
      <w:r w:rsidRPr="00DE299F">
        <w:rPr>
          <w:rFonts w:ascii="Times New Roman" w:hAnsi="Times New Roman" w:cs="Times New Roman"/>
          <w:i/>
          <w:color w:val="000000"/>
          <w:sz w:val="24"/>
          <w:szCs w:val="24"/>
        </w:rPr>
        <w:t>ask, to whom is it accessible? Who can actually get a lawyer and who actually has the strength and the endurance to go to court and stand up for their rights? That, too, needs to be</w:t>
      </w:r>
      <w:r>
        <w:rPr>
          <w:rFonts w:ascii="Times New Roman" w:hAnsi="Times New Roman" w:cs="Times New Roman"/>
          <w:i/>
          <w:color w:val="000000"/>
          <w:sz w:val="24"/>
          <w:szCs w:val="24"/>
        </w:rPr>
        <w:t xml:space="preserve"> thought about, especially with </w:t>
      </w:r>
      <w:r w:rsidRPr="00DE299F">
        <w:rPr>
          <w:rFonts w:ascii="Times New Roman" w:hAnsi="Times New Roman" w:cs="Times New Roman"/>
          <w:i/>
          <w:color w:val="000000"/>
          <w:sz w:val="24"/>
          <w:szCs w:val="24"/>
        </w:rPr>
        <w:t xml:space="preserve">the increasing number of trans people who go to community organizations trying to find that legal help and who, unfortunately, can’t respond or fight back—sometimes because of a lack of expertise and sometimes due to a lack of capacity. A big question to tackle is how to make the law accessible to people and not </w:t>
      </w:r>
      <w:r>
        <w:rPr>
          <w:rFonts w:ascii="Times New Roman" w:hAnsi="Times New Roman" w:cs="Times New Roman"/>
          <w:i/>
          <w:color w:val="000000"/>
          <w:sz w:val="24"/>
          <w:szCs w:val="24"/>
        </w:rPr>
        <w:t xml:space="preserve">only on a theoretical level but </w:t>
      </w:r>
      <w:r w:rsidRPr="00DE299F">
        <w:rPr>
          <w:rFonts w:ascii="Times New Roman" w:hAnsi="Times New Roman" w:cs="Times New Roman"/>
          <w:i/>
          <w:color w:val="000000"/>
          <w:sz w:val="24"/>
          <w:szCs w:val="24"/>
        </w:rPr>
        <w:t>also in daily life experiences.</w:t>
      </w:r>
      <w:r w:rsidRPr="00DB008B">
        <w:rPr>
          <w:rStyle w:val="FootnoteReference"/>
          <w:rFonts w:ascii="Times New Roman" w:hAnsi="Times New Roman" w:cs="Times New Roman"/>
          <w:color w:val="000000"/>
          <w:sz w:val="24"/>
          <w:szCs w:val="24"/>
        </w:rPr>
        <w:footnoteReference w:id="101"/>
      </w:r>
    </w:p>
    <w:p w14:paraId="3405A098" w14:textId="77777777" w:rsidR="00DE299F" w:rsidRDefault="00DE299F" w:rsidP="00DE299F">
      <w:pPr>
        <w:autoSpaceDE w:val="0"/>
        <w:autoSpaceDN w:val="0"/>
        <w:adjustRightInd w:val="0"/>
        <w:spacing w:after="0" w:line="240" w:lineRule="auto"/>
        <w:rPr>
          <w:rFonts w:ascii="AdvOT1ef757c0" w:hAnsi="AdvOT1ef757c0" w:cs="AdvOT1ef757c0"/>
          <w:color w:val="000000"/>
          <w:sz w:val="20"/>
          <w:szCs w:val="20"/>
        </w:rPr>
      </w:pPr>
    </w:p>
    <w:p w14:paraId="56EEC866" w14:textId="01E40C43" w:rsidR="00850E7A" w:rsidRDefault="00EC6018"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t>My</w:t>
      </w:r>
      <w:r w:rsidR="004B1674">
        <w:rPr>
          <w:rFonts w:ascii="Times New Roman" w:hAnsi="Times New Roman" w:cs="Times New Roman"/>
          <w:sz w:val="24"/>
          <w:szCs w:val="24"/>
        </w:rPr>
        <w:t xml:space="preserve"> final turn in this review is to the </w:t>
      </w:r>
      <w:proofErr w:type="spellStart"/>
      <w:r w:rsidR="004B1674">
        <w:rPr>
          <w:rFonts w:ascii="Times New Roman" w:hAnsi="Times New Roman" w:cs="Times New Roman"/>
          <w:sz w:val="24"/>
          <w:szCs w:val="24"/>
        </w:rPr>
        <w:t>tentacular</w:t>
      </w:r>
      <w:proofErr w:type="spellEnd"/>
      <w:r w:rsidR="004B1674">
        <w:rPr>
          <w:rFonts w:ascii="Times New Roman" w:hAnsi="Times New Roman" w:cs="Times New Roman"/>
          <w:sz w:val="24"/>
          <w:szCs w:val="24"/>
        </w:rPr>
        <w:t xml:space="preserve">, the far-reaching and the </w:t>
      </w:r>
      <w:r w:rsidR="00E32750">
        <w:rPr>
          <w:rFonts w:ascii="Times New Roman" w:hAnsi="Times New Roman" w:cs="Times New Roman"/>
          <w:sz w:val="24"/>
          <w:szCs w:val="24"/>
        </w:rPr>
        <w:t>(</w:t>
      </w:r>
      <w:r w:rsidR="004B1674">
        <w:rPr>
          <w:rFonts w:ascii="Times New Roman" w:hAnsi="Times New Roman" w:cs="Times New Roman"/>
          <w:sz w:val="24"/>
          <w:szCs w:val="24"/>
        </w:rPr>
        <w:t>in</w:t>
      </w:r>
      <w:r w:rsidR="00E32750">
        <w:rPr>
          <w:rFonts w:ascii="Times New Roman" w:hAnsi="Times New Roman" w:cs="Times New Roman"/>
          <w:sz w:val="24"/>
          <w:szCs w:val="24"/>
        </w:rPr>
        <w:t>)</w:t>
      </w:r>
      <w:r w:rsidR="004B1674">
        <w:rPr>
          <w:rFonts w:ascii="Times New Roman" w:hAnsi="Times New Roman" w:cs="Times New Roman"/>
          <w:sz w:val="24"/>
          <w:szCs w:val="24"/>
        </w:rPr>
        <w:t xml:space="preserve">dependent.  To the ways that these articles </w:t>
      </w:r>
      <w:r w:rsidR="004B38CF">
        <w:rPr>
          <w:rFonts w:ascii="Times New Roman" w:hAnsi="Times New Roman" w:cs="Times New Roman"/>
          <w:sz w:val="24"/>
          <w:szCs w:val="24"/>
        </w:rPr>
        <w:t xml:space="preserve">are both dependent and independent, and as is often the case with the </w:t>
      </w:r>
      <w:proofErr w:type="spellStart"/>
      <w:r w:rsidR="004B38CF">
        <w:rPr>
          <w:rFonts w:ascii="Times New Roman" w:hAnsi="Times New Roman" w:cs="Times New Roman"/>
          <w:sz w:val="24"/>
          <w:szCs w:val="24"/>
        </w:rPr>
        <w:t>tentacular</w:t>
      </w:r>
      <w:proofErr w:type="spellEnd"/>
      <w:r w:rsidR="004B38CF">
        <w:rPr>
          <w:rFonts w:ascii="Times New Roman" w:hAnsi="Times New Roman" w:cs="Times New Roman"/>
          <w:sz w:val="24"/>
          <w:szCs w:val="24"/>
        </w:rPr>
        <w:t>, those long autonomous threads are difficult to manage, difficult to understand and</w:t>
      </w:r>
      <w:r w:rsidR="00E32750">
        <w:rPr>
          <w:rFonts w:ascii="Times New Roman" w:hAnsi="Times New Roman" w:cs="Times New Roman"/>
          <w:sz w:val="24"/>
          <w:szCs w:val="24"/>
        </w:rPr>
        <w:t xml:space="preserve"> on occasion difficult to bring together</w:t>
      </w:r>
      <w:r w:rsidR="004B38CF">
        <w:rPr>
          <w:rFonts w:ascii="Times New Roman" w:hAnsi="Times New Roman" w:cs="Times New Roman"/>
          <w:sz w:val="24"/>
          <w:szCs w:val="24"/>
        </w:rPr>
        <w:t>.</w:t>
      </w:r>
      <w:r w:rsidR="004B38CF">
        <w:rPr>
          <w:rStyle w:val="FootnoteReference"/>
          <w:rFonts w:ascii="Times New Roman" w:hAnsi="Times New Roman" w:cs="Times New Roman"/>
          <w:sz w:val="24"/>
          <w:szCs w:val="24"/>
        </w:rPr>
        <w:footnoteReference w:id="102"/>
      </w:r>
      <w:r w:rsidR="004B38CF">
        <w:rPr>
          <w:rFonts w:ascii="Times New Roman" w:hAnsi="Times New Roman" w:cs="Times New Roman"/>
          <w:sz w:val="24"/>
          <w:szCs w:val="24"/>
        </w:rPr>
        <w:t xml:space="preserve"> To conclude </w:t>
      </w:r>
      <w:r>
        <w:rPr>
          <w:rFonts w:ascii="Times New Roman" w:hAnsi="Times New Roman" w:cs="Times New Roman"/>
          <w:sz w:val="24"/>
          <w:szCs w:val="24"/>
        </w:rPr>
        <w:t xml:space="preserve">I </w:t>
      </w:r>
      <w:r w:rsidR="004B38CF">
        <w:rPr>
          <w:rFonts w:ascii="Times New Roman" w:hAnsi="Times New Roman" w:cs="Times New Roman"/>
          <w:sz w:val="24"/>
          <w:szCs w:val="24"/>
        </w:rPr>
        <w:t>offer a few questions, with an eye to future work, and study, and to the ways that this volume can be of cr</w:t>
      </w:r>
      <w:r w:rsidR="00E32750">
        <w:rPr>
          <w:rFonts w:ascii="Times New Roman" w:hAnsi="Times New Roman" w:cs="Times New Roman"/>
          <w:sz w:val="24"/>
          <w:szCs w:val="24"/>
        </w:rPr>
        <w:t>itical use across diverse disciplines and modes of</w:t>
      </w:r>
      <w:r w:rsidR="004B38CF">
        <w:rPr>
          <w:rFonts w:ascii="Times New Roman" w:hAnsi="Times New Roman" w:cs="Times New Roman"/>
          <w:sz w:val="24"/>
          <w:szCs w:val="24"/>
        </w:rPr>
        <w:t xml:space="preserve"> study.  And, as </w:t>
      </w:r>
      <w:r>
        <w:rPr>
          <w:rFonts w:ascii="Times New Roman" w:hAnsi="Times New Roman" w:cs="Times New Roman"/>
          <w:sz w:val="24"/>
          <w:szCs w:val="24"/>
        </w:rPr>
        <w:t xml:space="preserve">I </w:t>
      </w:r>
      <w:r w:rsidR="004B38CF">
        <w:rPr>
          <w:rFonts w:ascii="Times New Roman" w:hAnsi="Times New Roman" w:cs="Times New Roman"/>
          <w:sz w:val="24"/>
          <w:szCs w:val="24"/>
        </w:rPr>
        <w:t xml:space="preserve">started, </w:t>
      </w:r>
      <w:r w:rsidR="00E32750">
        <w:rPr>
          <w:rFonts w:ascii="Times New Roman" w:hAnsi="Times New Roman" w:cs="Times New Roman"/>
          <w:sz w:val="24"/>
          <w:szCs w:val="24"/>
        </w:rPr>
        <w:t xml:space="preserve">I want </w:t>
      </w:r>
      <w:r w:rsidR="004B38CF">
        <w:rPr>
          <w:rFonts w:ascii="Times New Roman" w:hAnsi="Times New Roman" w:cs="Times New Roman"/>
          <w:sz w:val="24"/>
          <w:szCs w:val="24"/>
        </w:rPr>
        <w:t xml:space="preserve">to offer a counter-narrative to some of the downsides of this </w:t>
      </w:r>
      <w:r w:rsidR="00E32750">
        <w:rPr>
          <w:rFonts w:ascii="Times New Roman" w:hAnsi="Times New Roman" w:cs="Times New Roman"/>
          <w:sz w:val="24"/>
          <w:szCs w:val="24"/>
        </w:rPr>
        <w:t xml:space="preserve">political </w:t>
      </w:r>
      <w:r w:rsidR="004B38CF">
        <w:rPr>
          <w:rFonts w:ascii="Times New Roman" w:hAnsi="Times New Roman" w:cs="Times New Roman"/>
          <w:sz w:val="24"/>
          <w:szCs w:val="24"/>
        </w:rPr>
        <w:t xml:space="preserve">moment, where the understanding of what it means to be a trans </w:t>
      </w:r>
      <w:r w:rsidR="004B38CF">
        <w:rPr>
          <w:rFonts w:ascii="Times New Roman" w:hAnsi="Times New Roman" w:cs="Times New Roman"/>
          <w:sz w:val="24"/>
          <w:szCs w:val="24"/>
        </w:rPr>
        <w:lastRenderedPageBreak/>
        <w:t>person in the world is homogenized, and where the risks of isolati</w:t>
      </w:r>
      <w:r w:rsidR="00525C50">
        <w:rPr>
          <w:rFonts w:ascii="Times New Roman" w:hAnsi="Times New Roman" w:cs="Times New Roman"/>
          <w:sz w:val="24"/>
          <w:szCs w:val="24"/>
        </w:rPr>
        <w:t>on and violence are both great</w:t>
      </w:r>
      <w:r w:rsidR="004B38CF">
        <w:rPr>
          <w:rFonts w:ascii="Times New Roman" w:hAnsi="Times New Roman" w:cs="Times New Roman"/>
          <w:sz w:val="24"/>
          <w:szCs w:val="24"/>
        </w:rPr>
        <w:t xml:space="preserve"> and downplayed.</w:t>
      </w:r>
    </w:p>
    <w:p w14:paraId="218AE173" w14:textId="77777777" w:rsidR="004B38CF" w:rsidRDefault="004B38CF" w:rsidP="00BC272D">
      <w:pPr>
        <w:spacing w:after="0" w:line="360" w:lineRule="auto"/>
        <w:rPr>
          <w:rFonts w:ascii="Times New Roman" w:hAnsi="Times New Roman" w:cs="Times New Roman"/>
          <w:sz w:val="24"/>
          <w:szCs w:val="24"/>
        </w:rPr>
      </w:pPr>
    </w:p>
    <w:p w14:paraId="67F7BDEF" w14:textId="7A9529D0" w:rsidR="004B38CF" w:rsidRDefault="004B38CF"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And it is here that </w:t>
      </w:r>
      <w:r w:rsidR="00EC6018">
        <w:rPr>
          <w:rFonts w:ascii="Times New Roman" w:hAnsi="Times New Roman" w:cs="Times New Roman"/>
          <w:sz w:val="24"/>
          <w:szCs w:val="24"/>
        </w:rPr>
        <w:t xml:space="preserve">I </w:t>
      </w:r>
      <w:r>
        <w:rPr>
          <w:rFonts w:ascii="Times New Roman" w:hAnsi="Times New Roman" w:cs="Times New Roman"/>
          <w:sz w:val="24"/>
          <w:szCs w:val="24"/>
        </w:rPr>
        <w:t>start with a call for ensuring that alongside issues of gender diversity, the questions of trans peoples are situated firmly within other dimensions of diversity, inclusion, anti-racism and anti-colonialism.  The articles in this volume, without exception, situate their subject matters with respect to marginalization, and the analysis deepens as a result.</w:t>
      </w:r>
      <w:r w:rsidR="00525C50">
        <w:rPr>
          <w:rFonts w:ascii="Times New Roman" w:hAnsi="Times New Roman" w:cs="Times New Roman"/>
          <w:sz w:val="24"/>
          <w:szCs w:val="24"/>
        </w:rPr>
        <w:t xml:space="preserve">  The volume begins with the life story of Jamie Lee Hamilton, a trans woman whose life embodied the very issues to which she dedicated her energies and activism.</w:t>
      </w:r>
      <w:r w:rsidR="00525C50">
        <w:rPr>
          <w:rStyle w:val="FootnoteReference"/>
          <w:rFonts w:ascii="Times New Roman" w:hAnsi="Times New Roman" w:cs="Times New Roman"/>
          <w:sz w:val="24"/>
          <w:szCs w:val="24"/>
        </w:rPr>
        <w:footnoteReference w:id="103"/>
      </w:r>
      <w:r w:rsidR="00DB008B">
        <w:rPr>
          <w:rFonts w:ascii="Times New Roman" w:hAnsi="Times New Roman" w:cs="Times New Roman"/>
          <w:sz w:val="24"/>
          <w:szCs w:val="24"/>
        </w:rPr>
        <w:t xml:space="preserve"> Irving and </w:t>
      </w:r>
      <w:proofErr w:type="spellStart"/>
      <w:r w:rsidR="00DB008B">
        <w:rPr>
          <w:rFonts w:ascii="Times New Roman" w:hAnsi="Times New Roman" w:cs="Times New Roman"/>
          <w:sz w:val="24"/>
          <w:szCs w:val="24"/>
        </w:rPr>
        <w:t>Hoo</w:t>
      </w:r>
      <w:proofErr w:type="spellEnd"/>
      <w:r w:rsidR="00DB008B">
        <w:rPr>
          <w:rFonts w:ascii="Times New Roman" w:hAnsi="Times New Roman" w:cs="Times New Roman"/>
          <w:sz w:val="24"/>
          <w:szCs w:val="24"/>
        </w:rPr>
        <w:t xml:space="preserve"> also</w:t>
      </w:r>
      <w:r w:rsidR="00A610F0">
        <w:rPr>
          <w:rFonts w:ascii="Times New Roman" w:hAnsi="Times New Roman" w:cs="Times New Roman"/>
          <w:sz w:val="24"/>
          <w:szCs w:val="24"/>
        </w:rPr>
        <w:t xml:space="preserve"> take a very focused look at the role that whiteness plays for trans people seeking employment.  </w:t>
      </w:r>
      <w:r>
        <w:rPr>
          <w:rFonts w:ascii="Times New Roman" w:hAnsi="Times New Roman" w:cs="Times New Roman"/>
          <w:sz w:val="24"/>
          <w:szCs w:val="24"/>
        </w:rPr>
        <w:t xml:space="preserve">But in </w:t>
      </w:r>
      <w:r w:rsidR="00525C50">
        <w:rPr>
          <w:rFonts w:ascii="Times New Roman" w:hAnsi="Times New Roman" w:cs="Times New Roman"/>
          <w:sz w:val="24"/>
          <w:szCs w:val="24"/>
        </w:rPr>
        <w:t xml:space="preserve">places </w:t>
      </w:r>
      <w:r>
        <w:rPr>
          <w:rFonts w:ascii="Times New Roman" w:hAnsi="Times New Roman" w:cs="Times New Roman"/>
          <w:sz w:val="24"/>
          <w:szCs w:val="24"/>
        </w:rPr>
        <w:t xml:space="preserve">issues of race, and in particular of what it means to be Indigenous and trans in Canada today, </w:t>
      </w:r>
      <w:r w:rsidR="00525C50">
        <w:rPr>
          <w:rFonts w:ascii="Times New Roman" w:hAnsi="Times New Roman" w:cs="Times New Roman"/>
          <w:sz w:val="24"/>
          <w:szCs w:val="24"/>
        </w:rPr>
        <w:t>are only minimally</w:t>
      </w:r>
      <w:r>
        <w:rPr>
          <w:rFonts w:ascii="Times New Roman" w:hAnsi="Times New Roman" w:cs="Times New Roman"/>
          <w:sz w:val="24"/>
          <w:szCs w:val="24"/>
        </w:rPr>
        <w:t xml:space="preserve"> taken up and considered.</w:t>
      </w:r>
      <w:r w:rsidR="00DA47DA">
        <w:rPr>
          <w:rFonts w:ascii="Times New Roman" w:hAnsi="Times New Roman" w:cs="Times New Roman"/>
          <w:sz w:val="24"/>
          <w:szCs w:val="24"/>
        </w:rPr>
        <w:t xml:space="preserve">  The boundaries of privilege and what </w:t>
      </w:r>
      <w:r w:rsidR="00A259AA">
        <w:rPr>
          <w:rFonts w:ascii="Times New Roman" w:hAnsi="Times New Roman" w:cs="Times New Roman"/>
          <w:sz w:val="24"/>
          <w:szCs w:val="24"/>
        </w:rPr>
        <w:t xml:space="preserve">it </w:t>
      </w:r>
      <w:r w:rsidR="00DA47DA">
        <w:rPr>
          <w:rFonts w:ascii="Times New Roman" w:hAnsi="Times New Roman" w:cs="Times New Roman"/>
          <w:sz w:val="24"/>
          <w:szCs w:val="24"/>
        </w:rPr>
        <w:t>means in a context where the demands of affective la</w:t>
      </w:r>
      <w:r w:rsidR="00A610F0">
        <w:rPr>
          <w:rFonts w:ascii="Times New Roman" w:hAnsi="Times New Roman" w:cs="Times New Roman"/>
          <w:sz w:val="24"/>
          <w:szCs w:val="24"/>
        </w:rPr>
        <w:t>bour are subliminal, is an apposite</w:t>
      </w:r>
      <w:r w:rsidR="00DA47DA">
        <w:rPr>
          <w:rFonts w:ascii="Times New Roman" w:hAnsi="Times New Roman" w:cs="Times New Roman"/>
          <w:sz w:val="24"/>
          <w:szCs w:val="24"/>
        </w:rPr>
        <w:t xml:space="preserve"> set of questions across areas of law.</w:t>
      </w:r>
      <w:r w:rsidR="00DA47DA">
        <w:rPr>
          <w:rStyle w:val="FootnoteReference"/>
          <w:rFonts w:ascii="Times New Roman" w:hAnsi="Times New Roman" w:cs="Times New Roman"/>
          <w:sz w:val="24"/>
          <w:szCs w:val="24"/>
        </w:rPr>
        <w:footnoteReference w:id="104"/>
      </w:r>
      <w:r w:rsidR="00DA47DA">
        <w:rPr>
          <w:rFonts w:ascii="Times New Roman" w:hAnsi="Times New Roman" w:cs="Times New Roman"/>
          <w:sz w:val="24"/>
          <w:szCs w:val="24"/>
        </w:rPr>
        <w:t xml:space="preserve">  How is the trans legal subject understood beyond the issues of gender identity and gender expression?</w:t>
      </w:r>
      <w:r>
        <w:rPr>
          <w:rFonts w:ascii="Times New Roman" w:hAnsi="Times New Roman" w:cs="Times New Roman"/>
          <w:sz w:val="24"/>
          <w:szCs w:val="24"/>
        </w:rPr>
        <w:t xml:space="preserve"> </w:t>
      </w:r>
    </w:p>
    <w:p w14:paraId="263E6CC4" w14:textId="77777777" w:rsidR="00CB693F" w:rsidRDefault="00CB693F" w:rsidP="00BC272D">
      <w:pPr>
        <w:spacing w:after="0" w:line="360" w:lineRule="auto"/>
        <w:rPr>
          <w:rFonts w:ascii="Times New Roman" w:hAnsi="Times New Roman" w:cs="Times New Roman"/>
          <w:sz w:val="24"/>
          <w:szCs w:val="24"/>
        </w:rPr>
      </w:pPr>
    </w:p>
    <w:p w14:paraId="43DF671B" w14:textId="3378CC72" w:rsidR="00CB693F" w:rsidRDefault="00CB693F"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t>In addition, the volume is rigorous and the quality of scholarship, study and innovation is excellent.  But in places it is inaccessible, particularly in the use of deeply theoretical nomenclature and terminology.  Heuristics and normativity, epistemologies and cisgenderism, are all critical concepts for scholars</w:t>
      </w:r>
      <w:r w:rsidR="00A610F0">
        <w:rPr>
          <w:rFonts w:ascii="Times New Roman" w:hAnsi="Times New Roman" w:cs="Times New Roman"/>
          <w:sz w:val="24"/>
          <w:szCs w:val="24"/>
        </w:rPr>
        <w:t xml:space="preserve"> working carefully to advance this</w:t>
      </w:r>
      <w:r>
        <w:rPr>
          <w:rFonts w:ascii="Times New Roman" w:hAnsi="Times New Roman" w:cs="Times New Roman"/>
          <w:sz w:val="24"/>
          <w:szCs w:val="24"/>
        </w:rPr>
        <w:t xml:space="preserve"> area of study.  But it does mean that for many w</w:t>
      </w:r>
      <w:r w:rsidR="006F25E0">
        <w:rPr>
          <w:rFonts w:ascii="Times New Roman" w:hAnsi="Times New Roman" w:cs="Times New Roman"/>
          <w:sz w:val="24"/>
          <w:szCs w:val="24"/>
        </w:rPr>
        <w:t>orking on the da</w:t>
      </w:r>
      <w:r w:rsidR="00937112">
        <w:rPr>
          <w:rFonts w:ascii="Times New Roman" w:hAnsi="Times New Roman" w:cs="Times New Roman"/>
          <w:sz w:val="24"/>
          <w:szCs w:val="24"/>
        </w:rPr>
        <w:t>y-</w:t>
      </w:r>
      <w:r w:rsidR="006F25E0">
        <w:rPr>
          <w:rFonts w:ascii="Times New Roman" w:hAnsi="Times New Roman" w:cs="Times New Roman"/>
          <w:sz w:val="24"/>
          <w:szCs w:val="24"/>
        </w:rPr>
        <w:t>to</w:t>
      </w:r>
      <w:r w:rsidR="00937112">
        <w:rPr>
          <w:rFonts w:ascii="Times New Roman" w:hAnsi="Times New Roman" w:cs="Times New Roman"/>
          <w:sz w:val="24"/>
          <w:szCs w:val="24"/>
        </w:rPr>
        <w:t>-</w:t>
      </w:r>
      <w:r w:rsidR="006F25E0">
        <w:rPr>
          <w:rFonts w:ascii="Times New Roman" w:hAnsi="Times New Roman" w:cs="Times New Roman"/>
          <w:sz w:val="24"/>
          <w:szCs w:val="24"/>
        </w:rPr>
        <w:t>day</w:t>
      </w:r>
      <w:r w:rsidR="00A610F0">
        <w:rPr>
          <w:rFonts w:ascii="Times New Roman" w:hAnsi="Times New Roman" w:cs="Times New Roman"/>
          <w:sz w:val="24"/>
          <w:szCs w:val="24"/>
        </w:rPr>
        <w:t xml:space="preserve"> aspects</w:t>
      </w:r>
      <w:r w:rsidR="006F25E0">
        <w:rPr>
          <w:rFonts w:ascii="Times New Roman" w:hAnsi="Times New Roman" w:cs="Times New Roman"/>
          <w:sz w:val="24"/>
          <w:szCs w:val="24"/>
        </w:rPr>
        <w:t xml:space="preserve"> of these</w:t>
      </w:r>
      <w:r>
        <w:rPr>
          <w:rFonts w:ascii="Times New Roman" w:hAnsi="Times New Roman" w:cs="Times New Roman"/>
          <w:sz w:val="24"/>
          <w:szCs w:val="24"/>
        </w:rPr>
        <w:t xml:space="preserve"> very issues, on the ground, in offices and at the dinner table, some of these arguments operate </w:t>
      </w:r>
      <w:r w:rsidR="00016FE1">
        <w:rPr>
          <w:rFonts w:ascii="Times New Roman" w:hAnsi="Times New Roman" w:cs="Times New Roman"/>
          <w:sz w:val="24"/>
          <w:szCs w:val="24"/>
        </w:rPr>
        <w:t>using language</w:t>
      </w:r>
      <w:r>
        <w:rPr>
          <w:rFonts w:ascii="Times New Roman" w:hAnsi="Times New Roman" w:cs="Times New Roman"/>
          <w:sz w:val="24"/>
          <w:szCs w:val="24"/>
        </w:rPr>
        <w:t xml:space="preserve"> that</w:t>
      </w:r>
      <w:r w:rsidR="00016FE1">
        <w:rPr>
          <w:rFonts w:ascii="Times New Roman" w:hAnsi="Times New Roman" w:cs="Times New Roman"/>
          <w:sz w:val="24"/>
          <w:szCs w:val="24"/>
        </w:rPr>
        <w:t xml:space="preserve"> could make</w:t>
      </w:r>
      <w:r>
        <w:rPr>
          <w:rFonts w:ascii="Times New Roman" w:hAnsi="Times New Roman" w:cs="Times New Roman"/>
          <w:sz w:val="24"/>
          <w:szCs w:val="24"/>
        </w:rPr>
        <w:t xml:space="preserve"> them less likely to be consumed</w:t>
      </w:r>
      <w:r w:rsidR="006F25E0">
        <w:rPr>
          <w:rFonts w:ascii="Times New Roman" w:hAnsi="Times New Roman" w:cs="Times New Roman"/>
          <w:sz w:val="24"/>
          <w:szCs w:val="24"/>
        </w:rPr>
        <w:t>, debated</w:t>
      </w:r>
      <w:r>
        <w:rPr>
          <w:rFonts w:ascii="Times New Roman" w:hAnsi="Times New Roman" w:cs="Times New Roman"/>
          <w:sz w:val="24"/>
          <w:szCs w:val="24"/>
        </w:rPr>
        <w:t xml:space="preserve"> and understood.  </w:t>
      </w:r>
      <w:r w:rsidR="00324D92">
        <w:rPr>
          <w:rFonts w:ascii="Times New Roman" w:hAnsi="Times New Roman" w:cs="Times New Roman"/>
          <w:sz w:val="24"/>
          <w:szCs w:val="24"/>
        </w:rPr>
        <w:t>This is the lived experience of praxis:</w:t>
      </w:r>
      <w:r w:rsidR="00016FE1">
        <w:rPr>
          <w:rFonts w:ascii="Times New Roman" w:hAnsi="Times New Roman" w:cs="Times New Roman"/>
          <w:sz w:val="24"/>
          <w:szCs w:val="24"/>
        </w:rPr>
        <w:t xml:space="preserve"> ensuring rigorous and innovative scholarship in a field of study </w:t>
      </w:r>
      <w:r w:rsidR="00324D92">
        <w:rPr>
          <w:rFonts w:ascii="Times New Roman" w:hAnsi="Times New Roman" w:cs="Times New Roman"/>
          <w:sz w:val="24"/>
          <w:szCs w:val="24"/>
        </w:rPr>
        <w:t>inhabited by</w:t>
      </w:r>
      <w:r w:rsidR="00016FE1">
        <w:rPr>
          <w:rFonts w:ascii="Times New Roman" w:hAnsi="Times New Roman" w:cs="Times New Roman"/>
          <w:sz w:val="24"/>
          <w:szCs w:val="24"/>
        </w:rPr>
        <w:t xml:space="preserve"> </w:t>
      </w:r>
      <w:r>
        <w:rPr>
          <w:rFonts w:ascii="Times New Roman" w:hAnsi="Times New Roman" w:cs="Times New Roman"/>
          <w:sz w:val="24"/>
          <w:szCs w:val="24"/>
        </w:rPr>
        <w:t>marginalized peoples for whom systemic change is elusive, and material change is life-threatening.</w:t>
      </w:r>
    </w:p>
    <w:p w14:paraId="6C8350B8" w14:textId="77777777" w:rsidR="00DE299F" w:rsidRDefault="00DE299F" w:rsidP="00BC272D">
      <w:pPr>
        <w:spacing w:after="0" w:line="360" w:lineRule="auto"/>
        <w:rPr>
          <w:rFonts w:ascii="Times New Roman" w:hAnsi="Times New Roman" w:cs="Times New Roman"/>
          <w:sz w:val="24"/>
          <w:szCs w:val="24"/>
        </w:rPr>
      </w:pPr>
    </w:p>
    <w:p w14:paraId="04BCA1DA" w14:textId="70F2264C" w:rsidR="00DE299F" w:rsidRDefault="00DE299F" w:rsidP="00BC272D">
      <w:pPr>
        <w:spacing w:after="0" w:line="360" w:lineRule="auto"/>
        <w:rPr>
          <w:rFonts w:ascii="Times New Roman" w:hAnsi="Times New Roman" w:cs="Times New Roman"/>
          <w:sz w:val="24"/>
          <w:szCs w:val="24"/>
        </w:rPr>
      </w:pPr>
      <w:r>
        <w:rPr>
          <w:rFonts w:ascii="Times New Roman" w:hAnsi="Times New Roman" w:cs="Times New Roman"/>
          <w:sz w:val="24"/>
          <w:szCs w:val="24"/>
        </w:rPr>
        <w:t>There is also a</w:t>
      </w:r>
      <w:r w:rsidR="00A610F0">
        <w:rPr>
          <w:rFonts w:ascii="Times New Roman" w:hAnsi="Times New Roman" w:cs="Times New Roman"/>
          <w:sz w:val="24"/>
          <w:szCs w:val="24"/>
        </w:rPr>
        <w:t>n important</w:t>
      </w:r>
      <w:r>
        <w:rPr>
          <w:rFonts w:ascii="Times New Roman" w:hAnsi="Times New Roman" w:cs="Times New Roman"/>
          <w:sz w:val="24"/>
          <w:szCs w:val="24"/>
        </w:rPr>
        <w:t xml:space="preserve"> critique in the keynote, raised by Namaste and </w:t>
      </w:r>
      <w:proofErr w:type="spellStart"/>
      <w:r>
        <w:rPr>
          <w:rFonts w:ascii="Times New Roman" w:hAnsi="Times New Roman" w:cs="Times New Roman"/>
          <w:sz w:val="24"/>
          <w:szCs w:val="24"/>
        </w:rPr>
        <w:t>Tourki</w:t>
      </w:r>
      <w:proofErr w:type="spellEnd"/>
      <w:r w:rsidR="00DB008B">
        <w:rPr>
          <w:rFonts w:ascii="Times New Roman" w:hAnsi="Times New Roman" w:cs="Times New Roman"/>
          <w:sz w:val="24"/>
          <w:szCs w:val="24"/>
        </w:rPr>
        <w:t>,</w:t>
      </w:r>
      <w:r>
        <w:rPr>
          <w:rFonts w:ascii="Times New Roman" w:hAnsi="Times New Roman" w:cs="Times New Roman"/>
          <w:sz w:val="24"/>
          <w:szCs w:val="24"/>
        </w:rPr>
        <w:t xml:space="preserve"> that there is an imbalance that they see in the work on trans issue</w:t>
      </w:r>
      <w:r w:rsidR="00A610F0">
        <w:rPr>
          <w:rFonts w:ascii="Times New Roman" w:hAnsi="Times New Roman" w:cs="Times New Roman"/>
          <w:sz w:val="24"/>
          <w:szCs w:val="24"/>
        </w:rPr>
        <w:t>s in recent years, across a variety of settings,</w:t>
      </w:r>
      <w:r>
        <w:rPr>
          <w:rFonts w:ascii="Times New Roman" w:hAnsi="Times New Roman" w:cs="Times New Roman"/>
          <w:sz w:val="24"/>
          <w:szCs w:val="24"/>
        </w:rPr>
        <w:t xml:space="preserve"> </w:t>
      </w:r>
      <w:r>
        <w:rPr>
          <w:rFonts w:ascii="Times New Roman" w:hAnsi="Times New Roman" w:cs="Times New Roman"/>
          <w:sz w:val="24"/>
          <w:szCs w:val="24"/>
        </w:rPr>
        <w:lastRenderedPageBreak/>
        <w:t>cultural production, policy and scholarship.  In their view, the vast majority of it is enacted by trans men.</w:t>
      </w:r>
      <w:r>
        <w:rPr>
          <w:rStyle w:val="FootnoteReference"/>
          <w:rFonts w:ascii="Times New Roman" w:hAnsi="Times New Roman" w:cs="Times New Roman"/>
          <w:sz w:val="24"/>
          <w:szCs w:val="24"/>
        </w:rPr>
        <w:footnoteReference w:id="105"/>
      </w:r>
      <w:r>
        <w:rPr>
          <w:rFonts w:ascii="Times New Roman" w:hAnsi="Times New Roman" w:cs="Times New Roman"/>
          <w:sz w:val="24"/>
          <w:szCs w:val="24"/>
        </w:rPr>
        <w:t xml:space="preserve">  They query whether that is also the case in academia, and if so, what might be done to i</w:t>
      </w:r>
      <w:r w:rsidR="00EC6018">
        <w:rPr>
          <w:rFonts w:ascii="Times New Roman" w:hAnsi="Times New Roman" w:cs="Times New Roman"/>
          <w:sz w:val="24"/>
          <w:szCs w:val="24"/>
        </w:rPr>
        <w:t>ntervene.  And my</w:t>
      </w:r>
      <w:r>
        <w:rPr>
          <w:rFonts w:ascii="Times New Roman" w:hAnsi="Times New Roman" w:cs="Times New Roman"/>
          <w:sz w:val="24"/>
          <w:szCs w:val="24"/>
        </w:rPr>
        <w:t xml:space="preserve"> reflection here is that </w:t>
      </w:r>
      <w:r w:rsidR="00A610F0">
        <w:rPr>
          <w:rFonts w:ascii="Times New Roman" w:hAnsi="Times New Roman" w:cs="Times New Roman"/>
          <w:sz w:val="24"/>
          <w:szCs w:val="24"/>
        </w:rPr>
        <w:t xml:space="preserve">this </w:t>
      </w:r>
      <w:r>
        <w:rPr>
          <w:rFonts w:ascii="Times New Roman" w:hAnsi="Times New Roman" w:cs="Times New Roman"/>
          <w:sz w:val="24"/>
          <w:szCs w:val="24"/>
        </w:rPr>
        <w:t xml:space="preserve">seems to be </w:t>
      </w:r>
      <w:r w:rsidR="00A610F0">
        <w:rPr>
          <w:rFonts w:ascii="Times New Roman" w:hAnsi="Times New Roman" w:cs="Times New Roman"/>
          <w:sz w:val="24"/>
          <w:szCs w:val="24"/>
        </w:rPr>
        <w:t xml:space="preserve">reflected even </w:t>
      </w:r>
      <w:r>
        <w:rPr>
          <w:rFonts w:ascii="Times New Roman" w:hAnsi="Times New Roman" w:cs="Times New Roman"/>
          <w:sz w:val="24"/>
          <w:szCs w:val="24"/>
        </w:rPr>
        <w:t>within th</w:t>
      </w:r>
      <w:r w:rsidR="006F25E0">
        <w:rPr>
          <w:rFonts w:ascii="Times New Roman" w:hAnsi="Times New Roman" w:cs="Times New Roman"/>
          <w:sz w:val="24"/>
          <w:szCs w:val="24"/>
        </w:rPr>
        <w:t xml:space="preserve">e </w:t>
      </w:r>
      <w:r w:rsidR="00A610F0">
        <w:rPr>
          <w:rFonts w:ascii="Times New Roman" w:hAnsi="Times New Roman" w:cs="Times New Roman"/>
          <w:sz w:val="24"/>
          <w:szCs w:val="24"/>
        </w:rPr>
        <w:t>published authors in</w:t>
      </w:r>
      <w:r w:rsidR="006F25E0">
        <w:rPr>
          <w:rFonts w:ascii="Times New Roman" w:hAnsi="Times New Roman" w:cs="Times New Roman"/>
          <w:sz w:val="24"/>
          <w:szCs w:val="24"/>
        </w:rPr>
        <w:t xml:space="preserve"> th</w:t>
      </w:r>
      <w:r w:rsidR="00A610F0">
        <w:rPr>
          <w:rFonts w:ascii="Times New Roman" w:hAnsi="Times New Roman" w:cs="Times New Roman"/>
          <w:sz w:val="24"/>
          <w:szCs w:val="24"/>
        </w:rPr>
        <w:t>is volume.  And it takes me</w:t>
      </w:r>
      <w:r w:rsidR="00EC6018">
        <w:rPr>
          <w:rFonts w:ascii="Times New Roman" w:hAnsi="Times New Roman" w:cs="Times New Roman"/>
          <w:sz w:val="24"/>
          <w:szCs w:val="24"/>
        </w:rPr>
        <w:t xml:space="preserve"> back, in some ways, to where this review</w:t>
      </w:r>
      <w:r>
        <w:rPr>
          <w:rFonts w:ascii="Times New Roman" w:hAnsi="Times New Roman" w:cs="Times New Roman"/>
          <w:sz w:val="24"/>
          <w:szCs w:val="24"/>
        </w:rPr>
        <w:t xml:space="preserve"> started, that this moment is rife with binaries and with dissension.  Understanding those disagreements matters, but so also does holding up exceptional work, and doing the kind of collaborative, collective, inspiring that this volume asks of its subjects, its readers and each other.</w:t>
      </w:r>
    </w:p>
    <w:p w14:paraId="5399D72D" w14:textId="77777777" w:rsidR="00CB693F" w:rsidRDefault="00CB693F" w:rsidP="00BC272D">
      <w:pPr>
        <w:spacing w:after="0" w:line="360" w:lineRule="auto"/>
        <w:rPr>
          <w:rFonts w:ascii="Times New Roman" w:hAnsi="Times New Roman" w:cs="Times New Roman"/>
          <w:sz w:val="24"/>
          <w:szCs w:val="24"/>
        </w:rPr>
      </w:pPr>
    </w:p>
    <w:p w14:paraId="4FE0AEEA" w14:textId="1F5A578D" w:rsidR="00CB693F" w:rsidRDefault="00CB693F" w:rsidP="00DB008B">
      <w:pPr>
        <w:pStyle w:val="Heading2"/>
        <w:rPr>
          <w:bCs/>
        </w:rPr>
      </w:pPr>
      <w:r>
        <w:t>Conclusion:  Transformational</w:t>
      </w:r>
    </w:p>
    <w:p w14:paraId="51D91AFC" w14:textId="4CCC02D7" w:rsidR="003B40D8" w:rsidRDefault="003B40D8" w:rsidP="008F6A29">
      <w:pPr>
        <w:spacing w:after="0" w:line="240" w:lineRule="auto"/>
        <w:ind w:left="720"/>
        <w:rPr>
          <w:rFonts w:ascii="Times New Roman" w:hAnsi="Times New Roman" w:cs="Times New Roman"/>
          <w:sz w:val="24"/>
          <w:szCs w:val="24"/>
        </w:rPr>
      </w:pPr>
      <w:r w:rsidRPr="008F6A29">
        <w:rPr>
          <w:rFonts w:ascii="Times New Roman" w:hAnsi="Times New Roman" w:cs="Times New Roman"/>
          <w:i/>
          <w:iCs/>
          <w:sz w:val="24"/>
          <w:szCs w:val="24"/>
        </w:rPr>
        <w:t>Telling some of trans people’s legal stories also helps render visible the trans legal subject, which, albeit constituted within the narrative constraints of the legal system, brings us closer to centring trans people as legal actors.</w:t>
      </w:r>
      <w:r w:rsidR="00941B51">
        <w:rPr>
          <w:rStyle w:val="FootnoteReference"/>
          <w:rFonts w:ascii="Times New Roman" w:hAnsi="Times New Roman" w:cs="Times New Roman"/>
          <w:sz w:val="24"/>
          <w:szCs w:val="24"/>
        </w:rPr>
        <w:footnoteReference w:id="106"/>
      </w:r>
    </w:p>
    <w:p w14:paraId="06E24B19" w14:textId="77777777" w:rsidR="003B40D8" w:rsidRDefault="003B40D8" w:rsidP="00227DF4">
      <w:pPr>
        <w:autoSpaceDE w:val="0"/>
        <w:autoSpaceDN w:val="0"/>
        <w:adjustRightInd w:val="0"/>
        <w:spacing w:after="0" w:line="360" w:lineRule="auto"/>
        <w:rPr>
          <w:rFonts w:ascii="Times New Roman" w:hAnsi="Times New Roman" w:cs="Times New Roman"/>
          <w:sz w:val="24"/>
          <w:szCs w:val="24"/>
        </w:rPr>
      </w:pPr>
    </w:p>
    <w:p w14:paraId="7D19A9F2" w14:textId="4995E1C0" w:rsidR="003B40D8" w:rsidRDefault="00F21E17" w:rsidP="00227DF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aim of this review is </w:t>
      </w:r>
      <w:r w:rsidR="006D172E">
        <w:rPr>
          <w:rFonts w:ascii="Times New Roman" w:hAnsi="Times New Roman" w:cs="Times New Roman"/>
          <w:sz w:val="24"/>
          <w:szCs w:val="24"/>
        </w:rPr>
        <w:t>embodied by</w:t>
      </w:r>
      <w:r>
        <w:rPr>
          <w:rFonts w:ascii="Times New Roman" w:hAnsi="Times New Roman" w:cs="Times New Roman"/>
          <w:sz w:val="24"/>
          <w:szCs w:val="24"/>
        </w:rPr>
        <w:t xml:space="preserve"> Singer’s words, to </w:t>
      </w:r>
      <w:r w:rsidR="009D34B2">
        <w:rPr>
          <w:rFonts w:ascii="Times New Roman" w:hAnsi="Times New Roman" w:cs="Times New Roman"/>
          <w:sz w:val="24"/>
          <w:szCs w:val="24"/>
        </w:rPr>
        <w:t xml:space="preserve">effect transformation in the societal view of </w:t>
      </w:r>
      <w:r>
        <w:rPr>
          <w:rFonts w:ascii="Times New Roman" w:hAnsi="Times New Roman" w:cs="Times New Roman"/>
          <w:sz w:val="24"/>
          <w:szCs w:val="24"/>
        </w:rPr>
        <w:t xml:space="preserve">the issues faced by trans and non-binary peoples as exclusively an issue of </w:t>
      </w:r>
      <w:r w:rsidR="00F53927">
        <w:rPr>
          <w:rFonts w:ascii="Times New Roman" w:hAnsi="Times New Roman" w:cs="Times New Roman"/>
          <w:sz w:val="24"/>
          <w:szCs w:val="24"/>
        </w:rPr>
        <w:t>recognition</w:t>
      </w:r>
      <w:r w:rsidR="009D34B2">
        <w:rPr>
          <w:rFonts w:ascii="Times New Roman" w:hAnsi="Times New Roman" w:cs="Times New Roman"/>
          <w:sz w:val="24"/>
          <w:szCs w:val="24"/>
        </w:rPr>
        <w:t>;</w:t>
      </w:r>
      <w:r>
        <w:rPr>
          <w:rFonts w:ascii="Times New Roman" w:hAnsi="Times New Roman" w:cs="Times New Roman"/>
          <w:sz w:val="24"/>
          <w:szCs w:val="24"/>
        </w:rPr>
        <w:t xml:space="preserve"> to challenge the reader to deepen their understanding by entering this volume and its collected works.</w:t>
      </w:r>
      <w:r w:rsidR="003B40D8">
        <w:rPr>
          <w:rFonts w:ascii="Times New Roman" w:hAnsi="Times New Roman" w:cs="Times New Roman"/>
          <w:sz w:val="24"/>
          <w:szCs w:val="24"/>
        </w:rPr>
        <w:t xml:space="preserve"> </w:t>
      </w:r>
      <w:r w:rsidR="00E97AE3">
        <w:rPr>
          <w:rFonts w:ascii="Times New Roman" w:hAnsi="Times New Roman" w:cs="Times New Roman"/>
          <w:sz w:val="24"/>
          <w:szCs w:val="24"/>
        </w:rPr>
        <w:t xml:space="preserve">At the same time, it is </w:t>
      </w:r>
      <w:r w:rsidR="006D172E">
        <w:rPr>
          <w:rFonts w:ascii="Times New Roman" w:hAnsi="Times New Roman" w:cs="Times New Roman"/>
          <w:sz w:val="24"/>
          <w:szCs w:val="24"/>
        </w:rPr>
        <w:t>my hope tha</w:t>
      </w:r>
      <w:r w:rsidR="006D6888">
        <w:rPr>
          <w:rFonts w:ascii="Times New Roman" w:hAnsi="Times New Roman" w:cs="Times New Roman"/>
          <w:sz w:val="24"/>
          <w:szCs w:val="24"/>
        </w:rPr>
        <w:t>t encouraging readers to read this volume</w:t>
      </w:r>
      <w:r>
        <w:rPr>
          <w:rFonts w:ascii="Times New Roman" w:hAnsi="Times New Roman" w:cs="Times New Roman"/>
          <w:sz w:val="24"/>
          <w:szCs w:val="24"/>
        </w:rPr>
        <w:t xml:space="preserve"> </w:t>
      </w:r>
      <w:r w:rsidR="006D172E">
        <w:rPr>
          <w:rFonts w:ascii="Times New Roman" w:hAnsi="Times New Roman" w:cs="Times New Roman"/>
          <w:sz w:val="24"/>
          <w:szCs w:val="24"/>
        </w:rPr>
        <w:t>will play a role in countering</w:t>
      </w:r>
      <w:r w:rsidR="00F8127E">
        <w:rPr>
          <w:rFonts w:ascii="Times New Roman" w:hAnsi="Times New Roman" w:cs="Times New Roman"/>
          <w:sz w:val="24"/>
          <w:szCs w:val="24"/>
        </w:rPr>
        <w:t xml:space="preserve"> the </w:t>
      </w:r>
      <w:r w:rsidR="009D34B2">
        <w:rPr>
          <w:rFonts w:ascii="Times New Roman" w:hAnsi="Times New Roman" w:cs="Times New Roman"/>
          <w:sz w:val="24"/>
          <w:szCs w:val="24"/>
        </w:rPr>
        <w:t>narrative</w:t>
      </w:r>
      <w:r w:rsidR="00BA239F">
        <w:rPr>
          <w:rFonts w:ascii="Times New Roman" w:hAnsi="Times New Roman" w:cs="Times New Roman"/>
          <w:sz w:val="24"/>
          <w:szCs w:val="24"/>
        </w:rPr>
        <w:t>, held by some,</w:t>
      </w:r>
      <w:r>
        <w:rPr>
          <w:rFonts w:ascii="Times New Roman" w:hAnsi="Times New Roman" w:cs="Times New Roman"/>
          <w:sz w:val="24"/>
          <w:szCs w:val="24"/>
        </w:rPr>
        <w:t xml:space="preserve"> that feminist and trans legal activism sit i</w:t>
      </w:r>
      <w:r w:rsidR="00AA7261">
        <w:rPr>
          <w:rFonts w:ascii="Times New Roman" w:hAnsi="Times New Roman" w:cs="Times New Roman"/>
          <w:sz w:val="24"/>
          <w:szCs w:val="24"/>
        </w:rPr>
        <w:t>n inexorable</w:t>
      </w:r>
      <w:r>
        <w:rPr>
          <w:rFonts w:ascii="Times New Roman" w:hAnsi="Times New Roman" w:cs="Times New Roman"/>
          <w:sz w:val="24"/>
          <w:szCs w:val="24"/>
        </w:rPr>
        <w:t xml:space="preserve"> tension </w:t>
      </w:r>
      <w:r w:rsidR="00E97AE3">
        <w:rPr>
          <w:rFonts w:ascii="Times New Roman" w:hAnsi="Times New Roman" w:cs="Times New Roman"/>
          <w:sz w:val="24"/>
          <w:szCs w:val="24"/>
        </w:rPr>
        <w:t>to</w:t>
      </w:r>
      <w:r>
        <w:rPr>
          <w:rFonts w:ascii="Times New Roman" w:hAnsi="Times New Roman" w:cs="Times New Roman"/>
          <w:sz w:val="24"/>
          <w:szCs w:val="24"/>
        </w:rPr>
        <w:t xml:space="preserve"> each other.</w:t>
      </w:r>
    </w:p>
    <w:p w14:paraId="3AB74067" w14:textId="77777777" w:rsidR="003B40D8" w:rsidRDefault="003B40D8" w:rsidP="00227DF4">
      <w:pPr>
        <w:autoSpaceDE w:val="0"/>
        <w:autoSpaceDN w:val="0"/>
        <w:adjustRightInd w:val="0"/>
        <w:spacing w:after="0" w:line="360" w:lineRule="auto"/>
        <w:rPr>
          <w:rFonts w:ascii="Times New Roman" w:hAnsi="Times New Roman" w:cs="Times New Roman"/>
          <w:sz w:val="24"/>
          <w:szCs w:val="24"/>
        </w:rPr>
      </w:pPr>
    </w:p>
    <w:p w14:paraId="60306ECD" w14:textId="16024EF4" w:rsidR="00F21E17" w:rsidRDefault="00F21E17" w:rsidP="00227DF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articles here all demonstrate carefully and critically that the issues faced by trans and non-binary legal actors</w:t>
      </w:r>
      <w:r w:rsidR="00E97AE3">
        <w:rPr>
          <w:rFonts w:ascii="Times New Roman" w:hAnsi="Times New Roman" w:cs="Times New Roman"/>
          <w:sz w:val="24"/>
          <w:szCs w:val="24"/>
        </w:rPr>
        <w:t xml:space="preserve"> cross legal barriers, jurisdictions, theoretical constructs and imaginaries. </w:t>
      </w:r>
      <w:r w:rsidR="00081096">
        <w:rPr>
          <w:rFonts w:ascii="Times New Roman" w:hAnsi="Times New Roman" w:cs="Times New Roman"/>
          <w:sz w:val="24"/>
          <w:szCs w:val="24"/>
        </w:rPr>
        <w:t>And whi</w:t>
      </w:r>
      <w:r w:rsidR="007639DB">
        <w:rPr>
          <w:rFonts w:ascii="Times New Roman" w:hAnsi="Times New Roman" w:cs="Times New Roman"/>
          <w:sz w:val="24"/>
          <w:szCs w:val="24"/>
        </w:rPr>
        <w:t>le n</w:t>
      </w:r>
      <w:r w:rsidR="00081096">
        <w:rPr>
          <w:rFonts w:ascii="Times New Roman" w:hAnsi="Times New Roman" w:cs="Times New Roman"/>
          <w:sz w:val="24"/>
          <w:szCs w:val="24"/>
        </w:rPr>
        <w:t xml:space="preserve">one of them make the </w:t>
      </w:r>
      <w:r w:rsidR="007639DB">
        <w:rPr>
          <w:rFonts w:ascii="Times New Roman" w:hAnsi="Times New Roman" w:cs="Times New Roman"/>
          <w:sz w:val="24"/>
          <w:szCs w:val="24"/>
        </w:rPr>
        <w:t xml:space="preserve">primary </w:t>
      </w:r>
      <w:r w:rsidR="00081096">
        <w:rPr>
          <w:rFonts w:ascii="Times New Roman" w:hAnsi="Times New Roman" w:cs="Times New Roman"/>
          <w:sz w:val="24"/>
          <w:szCs w:val="24"/>
        </w:rPr>
        <w:t xml:space="preserve">focus of their analysis </w:t>
      </w:r>
      <w:r w:rsidR="00854F5F">
        <w:rPr>
          <w:rFonts w:ascii="Times New Roman" w:hAnsi="Times New Roman" w:cs="Times New Roman"/>
          <w:sz w:val="24"/>
          <w:szCs w:val="24"/>
        </w:rPr>
        <w:t>the current political positioning of people who advocate anti-trans ideologies under the banner of feminism</w:t>
      </w:r>
      <w:r w:rsidR="00A259AA">
        <w:rPr>
          <w:rFonts w:ascii="Times New Roman" w:hAnsi="Times New Roman" w:cs="Times New Roman"/>
          <w:sz w:val="24"/>
          <w:szCs w:val="24"/>
        </w:rPr>
        <w:t>,</w:t>
      </w:r>
      <w:r w:rsidR="00081096">
        <w:rPr>
          <w:rFonts w:ascii="Times New Roman" w:hAnsi="Times New Roman" w:cs="Times New Roman"/>
          <w:sz w:val="24"/>
          <w:szCs w:val="24"/>
        </w:rPr>
        <w:t xml:space="preserve"> all of them are situated in a world in which the lives of trans and non-binaries peoples are facing extensive and continued marginalization.</w:t>
      </w:r>
      <w:r w:rsidR="003B4F94">
        <w:rPr>
          <w:rFonts w:ascii="Times New Roman" w:hAnsi="Times New Roman" w:cs="Times New Roman"/>
          <w:sz w:val="24"/>
          <w:szCs w:val="24"/>
        </w:rPr>
        <w:t xml:space="preserve"> </w:t>
      </w:r>
    </w:p>
    <w:p w14:paraId="71FB0573" w14:textId="77777777" w:rsidR="00081096" w:rsidRDefault="00081096" w:rsidP="00227DF4">
      <w:pPr>
        <w:autoSpaceDE w:val="0"/>
        <w:autoSpaceDN w:val="0"/>
        <w:adjustRightInd w:val="0"/>
        <w:spacing w:after="0" w:line="360" w:lineRule="auto"/>
        <w:rPr>
          <w:rFonts w:ascii="Times New Roman" w:hAnsi="Times New Roman" w:cs="Times New Roman"/>
          <w:sz w:val="24"/>
          <w:szCs w:val="24"/>
        </w:rPr>
      </w:pPr>
    </w:p>
    <w:p w14:paraId="04AE19CC" w14:textId="18A417AA" w:rsidR="000529AC" w:rsidRPr="00941B51" w:rsidRDefault="00040AA3" w:rsidP="00227DF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At the end of the day, t</w:t>
      </w:r>
      <w:r w:rsidR="003B4F94">
        <w:rPr>
          <w:rFonts w:ascii="Times New Roman" w:hAnsi="Times New Roman" w:cs="Times New Roman"/>
          <w:sz w:val="24"/>
          <w:szCs w:val="24"/>
        </w:rPr>
        <w:t xml:space="preserve">he </w:t>
      </w:r>
      <w:r w:rsidR="00854F5F">
        <w:rPr>
          <w:rFonts w:ascii="Times New Roman" w:hAnsi="Times New Roman" w:cs="Times New Roman"/>
          <w:sz w:val="24"/>
          <w:szCs w:val="24"/>
        </w:rPr>
        <w:t>ostracization</w:t>
      </w:r>
      <w:r w:rsidR="003B4F94">
        <w:rPr>
          <w:rFonts w:ascii="Times New Roman" w:hAnsi="Times New Roman" w:cs="Times New Roman"/>
          <w:sz w:val="24"/>
          <w:szCs w:val="24"/>
        </w:rPr>
        <w:t xml:space="preserve"> of people who have historically faced discrimination on the basis of gender</w:t>
      </w:r>
      <w:r w:rsidR="00311B59">
        <w:rPr>
          <w:rFonts w:ascii="Times New Roman" w:hAnsi="Times New Roman" w:cs="Times New Roman"/>
          <w:sz w:val="24"/>
          <w:szCs w:val="24"/>
        </w:rPr>
        <w:t xml:space="preserve"> </w:t>
      </w:r>
      <w:r w:rsidR="003B4F94">
        <w:rPr>
          <w:rFonts w:ascii="Times New Roman" w:hAnsi="Times New Roman" w:cs="Times New Roman"/>
          <w:sz w:val="24"/>
          <w:szCs w:val="24"/>
        </w:rPr>
        <w:t xml:space="preserve">is </w:t>
      </w:r>
      <w:r w:rsidR="00311B59">
        <w:rPr>
          <w:rFonts w:ascii="Times New Roman" w:hAnsi="Times New Roman" w:cs="Times New Roman"/>
          <w:sz w:val="24"/>
          <w:szCs w:val="24"/>
        </w:rPr>
        <w:t xml:space="preserve">what </w:t>
      </w:r>
      <w:r w:rsidR="00081096">
        <w:rPr>
          <w:rFonts w:ascii="Times New Roman" w:hAnsi="Times New Roman" w:cs="Times New Roman"/>
          <w:sz w:val="24"/>
          <w:szCs w:val="24"/>
        </w:rPr>
        <w:t xml:space="preserve">makes </w:t>
      </w:r>
      <w:r w:rsidR="003B4F94">
        <w:rPr>
          <w:rFonts w:ascii="Times New Roman" w:hAnsi="Times New Roman" w:cs="Times New Roman"/>
          <w:sz w:val="24"/>
          <w:szCs w:val="24"/>
        </w:rPr>
        <w:t>this</w:t>
      </w:r>
      <w:r w:rsidR="00081096">
        <w:rPr>
          <w:rFonts w:ascii="Times New Roman" w:hAnsi="Times New Roman" w:cs="Times New Roman"/>
          <w:sz w:val="24"/>
          <w:szCs w:val="24"/>
        </w:rPr>
        <w:t xml:space="preserve"> </w:t>
      </w:r>
      <w:r w:rsidR="003B40D8">
        <w:rPr>
          <w:rFonts w:ascii="Times New Roman" w:hAnsi="Times New Roman" w:cs="Times New Roman"/>
          <w:sz w:val="24"/>
          <w:szCs w:val="24"/>
        </w:rPr>
        <w:t xml:space="preserve">special </w:t>
      </w:r>
      <w:r w:rsidR="00311B59">
        <w:rPr>
          <w:rFonts w:ascii="Times New Roman" w:hAnsi="Times New Roman" w:cs="Times New Roman"/>
          <w:sz w:val="24"/>
          <w:szCs w:val="24"/>
        </w:rPr>
        <w:t xml:space="preserve">volume of the </w:t>
      </w:r>
      <w:r w:rsidR="00311B59" w:rsidRPr="008F6A29">
        <w:rPr>
          <w:rFonts w:ascii="Times New Roman" w:hAnsi="Times New Roman" w:cs="Times New Roman"/>
          <w:i/>
          <w:sz w:val="24"/>
          <w:szCs w:val="24"/>
        </w:rPr>
        <w:t xml:space="preserve">Canadian Journal of Law and </w:t>
      </w:r>
      <w:r w:rsidR="00311B59" w:rsidRPr="008F6A29">
        <w:rPr>
          <w:rFonts w:ascii="Times New Roman" w:hAnsi="Times New Roman" w:cs="Times New Roman"/>
          <w:i/>
          <w:sz w:val="24"/>
          <w:szCs w:val="24"/>
        </w:rPr>
        <w:lastRenderedPageBreak/>
        <w:t>Society</w:t>
      </w:r>
      <w:r w:rsidR="006A7285">
        <w:rPr>
          <w:rStyle w:val="FootnoteReference"/>
          <w:rFonts w:ascii="Times New Roman" w:hAnsi="Times New Roman" w:cs="Times New Roman"/>
          <w:sz w:val="24"/>
          <w:szCs w:val="24"/>
        </w:rPr>
        <w:footnoteReference w:id="107"/>
      </w:r>
      <w:r w:rsidR="003B4F94">
        <w:rPr>
          <w:rFonts w:ascii="Times New Roman" w:hAnsi="Times New Roman" w:cs="Times New Roman"/>
          <w:sz w:val="24"/>
          <w:szCs w:val="24"/>
        </w:rPr>
        <w:t xml:space="preserve"> of importance to </w:t>
      </w:r>
      <w:r w:rsidR="006D172E">
        <w:rPr>
          <w:rFonts w:ascii="Times New Roman" w:hAnsi="Times New Roman" w:cs="Times New Roman"/>
          <w:sz w:val="24"/>
          <w:szCs w:val="24"/>
        </w:rPr>
        <w:t>everyone working in law today</w:t>
      </w:r>
      <w:r w:rsidR="00F53927">
        <w:rPr>
          <w:rFonts w:ascii="Times New Roman" w:hAnsi="Times New Roman" w:cs="Times New Roman"/>
          <w:sz w:val="24"/>
          <w:szCs w:val="24"/>
        </w:rPr>
        <w:t>, and in particular to people with a deep commitment to feminism</w:t>
      </w:r>
      <w:r w:rsidR="003B4F94">
        <w:rPr>
          <w:rFonts w:ascii="Times New Roman" w:hAnsi="Times New Roman" w:cs="Times New Roman"/>
          <w:sz w:val="24"/>
          <w:szCs w:val="24"/>
        </w:rPr>
        <w:t>.</w:t>
      </w:r>
      <w:r w:rsidR="00311B59">
        <w:rPr>
          <w:rFonts w:ascii="Times New Roman" w:hAnsi="Times New Roman" w:cs="Times New Roman"/>
          <w:sz w:val="24"/>
          <w:szCs w:val="24"/>
        </w:rPr>
        <w:t xml:space="preserve">  </w:t>
      </w:r>
      <w:r>
        <w:rPr>
          <w:rFonts w:ascii="Times New Roman" w:hAnsi="Times New Roman" w:cs="Times New Roman"/>
          <w:sz w:val="24"/>
          <w:szCs w:val="24"/>
        </w:rPr>
        <w:t>The volume</w:t>
      </w:r>
      <w:r w:rsidR="00311B59">
        <w:rPr>
          <w:rFonts w:ascii="Times New Roman" w:hAnsi="Times New Roman" w:cs="Times New Roman"/>
          <w:sz w:val="24"/>
          <w:szCs w:val="24"/>
        </w:rPr>
        <w:t xml:space="preserve"> pauses, amidst the whirlwind that we find ourselves in at this moment,</w:t>
      </w:r>
      <w:r w:rsidR="00B415F6">
        <w:rPr>
          <w:rStyle w:val="FootnoteReference"/>
          <w:rFonts w:ascii="Times New Roman" w:hAnsi="Times New Roman" w:cs="Times New Roman"/>
          <w:sz w:val="24"/>
          <w:szCs w:val="24"/>
        </w:rPr>
        <w:footnoteReference w:id="108"/>
      </w:r>
      <w:r w:rsidR="00DB008B">
        <w:rPr>
          <w:rFonts w:ascii="Times New Roman" w:hAnsi="Times New Roman" w:cs="Times New Roman"/>
          <w:sz w:val="24"/>
          <w:szCs w:val="24"/>
        </w:rPr>
        <w:t xml:space="preserve"> and </w:t>
      </w:r>
      <w:r w:rsidR="00311B59">
        <w:rPr>
          <w:rFonts w:ascii="Times New Roman" w:hAnsi="Times New Roman" w:cs="Times New Roman"/>
          <w:sz w:val="24"/>
          <w:szCs w:val="24"/>
        </w:rPr>
        <w:t xml:space="preserve">pays attention to the diverse stories of trans </w:t>
      </w:r>
      <w:r w:rsidR="00854F5F">
        <w:rPr>
          <w:rFonts w:ascii="Times New Roman" w:hAnsi="Times New Roman" w:cs="Times New Roman"/>
          <w:sz w:val="24"/>
          <w:szCs w:val="24"/>
        </w:rPr>
        <w:t xml:space="preserve">and non-binary </w:t>
      </w:r>
      <w:r w:rsidR="00311B59">
        <w:rPr>
          <w:rFonts w:ascii="Times New Roman" w:hAnsi="Times New Roman" w:cs="Times New Roman"/>
          <w:sz w:val="24"/>
          <w:szCs w:val="24"/>
        </w:rPr>
        <w:t xml:space="preserve">peoples, many of whom are living in the margins of Canadian society, </w:t>
      </w:r>
      <w:r w:rsidR="00A610F0">
        <w:rPr>
          <w:rFonts w:ascii="Times New Roman" w:hAnsi="Times New Roman" w:cs="Times New Roman"/>
          <w:sz w:val="24"/>
          <w:szCs w:val="24"/>
        </w:rPr>
        <w:t>to shine</w:t>
      </w:r>
      <w:r w:rsidR="006F25E0">
        <w:rPr>
          <w:rFonts w:ascii="Times New Roman" w:hAnsi="Times New Roman" w:cs="Times New Roman"/>
          <w:sz w:val="24"/>
          <w:szCs w:val="24"/>
        </w:rPr>
        <w:t xml:space="preserve"> an inclusive light on</w:t>
      </w:r>
      <w:r w:rsidR="00311B59">
        <w:rPr>
          <w:rFonts w:ascii="Times New Roman" w:hAnsi="Times New Roman" w:cs="Times New Roman"/>
          <w:sz w:val="24"/>
          <w:szCs w:val="24"/>
        </w:rPr>
        <w:t xml:space="preserve"> the</w:t>
      </w:r>
      <w:r w:rsidR="006F25E0">
        <w:rPr>
          <w:rFonts w:ascii="Times New Roman" w:hAnsi="Times New Roman" w:cs="Times New Roman"/>
          <w:sz w:val="24"/>
          <w:szCs w:val="24"/>
        </w:rPr>
        <w:t xml:space="preserve"> plurality of their issues, stories, and </w:t>
      </w:r>
      <w:r w:rsidR="00311B59">
        <w:rPr>
          <w:rFonts w:ascii="Times New Roman" w:hAnsi="Times New Roman" w:cs="Times New Roman"/>
          <w:sz w:val="24"/>
          <w:szCs w:val="24"/>
        </w:rPr>
        <w:t>lived experiences.</w:t>
      </w:r>
      <w:r w:rsidR="005B36CD">
        <w:rPr>
          <w:rFonts w:ascii="Times New Roman" w:hAnsi="Times New Roman" w:cs="Times New Roman"/>
          <w:sz w:val="24"/>
          <w:szCs w:val="24"/>
        </w:rPr>
        <w:t xml:space="preserve"> </w:t>
      </w:r>
      <w:r>
        <w:rPr>
          <w:rFonts w:ascii="Times New Roman" w:hAnsi="Times New Roman" w:cs="Times New Roman"/>
          <w:sz w:val="24"/>
          <w:szCs w:val="24"/>
        </w:rPr>
        <w:t>Collectively, this work</w:t>
      </w:r>
      <w:r w:rsidR="005B36CD">
        <w:rPr>
          <w:rFonts w:ascii="Times New Roman" w:hAnsi="Times New Roman" w:cs="Times New Roman"/>
          <w:sz w:val="24"/>
          <w:szCs w:val="24"/>
        </w:rPr>
        <w:t xml:space="preserve"> offers up tensions as a means to revitalize advocacy, to offer more ways into understanding, alliance and change.</w:t>
      </w:r>
      <w:r w:rsidR="005B36CD">
        <w:rPr>
          <w:rStyle w:val="FootnoteReference"/>
          <w:rFonts w:ascii="Times New Roman" w:hAnsi="Times New Roman" w:cs="Times New Roman"/>
          <w:sz w:val="24"/>
          <w:szCs w:val="24"/>
        </w:rPr>
        <w:footnoteReference w:id="109"/>
      </w:r>
      <w:r w:rsidR="005B36CD">
        <w:rPr>
          <w:rFonts w:ascii="Times New Roman" w:hAnsi="Times New Roman" w:cs="Times New Roman"/>
          <w:sz w:val="24"/>
          <w:szCs w:val="24"/>
        </w:rPr>
        <w:t xml:space="preserve"> </w:t>
      </w:r>
      <w:r w:rsidR="00311B59">
        <w:rPr>
          <w:rFonts w:ascii="Times New Roman" w:hAnsi="Times New Roman" w:cs="Times New Roman"/>
          <w:sz w:val="24"/>
          <w:szCs w:val="24"/>
        </w:rPr>
        <w:t xml:space="preserve"> </w:t>
      </w:r>
      <w:r w:rsidR="00854F5F">
        <w:rPr>
          <w:rFonts w:ascii="Times New Roman" w:hAnsi="Times New Roman" w:cs="Times New Roman"/>
          <w:sz w:val="24"/>
          <w:szCs w:val="24"/>
        </w:rPr>
        <w:t>The volume is</w:t>
      </w:r>
      <w:r w:rsidR="000F1301">
        <w:rPr>
          <w:rFonts w:ascii="Times New Roman" w:hAnsi="Times New Roman" w:cs="Times New Roman"/>
          <w:sz w:val="24"/>
          <w:szCs w:val="24"/>
        </w:rPr>
        <w:t xml:space="preserve"> a powerful contribution to deepen necessary conversations on one of the most important sets of questions of our time.</w:t>
      </w:r>
    </w:p>
    <w:sectPr w:rsidR="000529AC" w:rsidRPr="00941B51" w:rsidSect="00454D90">
      <w:headerReference w:type="even" r:id="rId11"/>
      <w:headerReference w:type="default" r:id="rId12"/>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7EE9A" w14:textId="77777777" w:rsidR="000D70F6" w:rsidRDefault="000D70F6" w:rsidP="00F23AFB">
      <w:pPr>
        <w:spacing w:after="0" w:line="240" w:lineRule="auto"/>
      </w:pPr>
      <w:r>
        <w:separator/>
      </w:r>
    </w:p>
  </w:endnote>
  <w:endnote w:type="continuationSeparator" w:id="0">
    <w:p w14:paraId="5B59F1FB" w14:textId="77777777" w:rsidR="000D70F6" w:rsidRDefault="000D70F6" w:rsidP="00F2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dvOT1ef757c0">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8D98" w14:textId="4B5DE63B" w:rsidR="00454D90" w:rsidRDefault="00454D90">
    <w:pPr>
      <w:pStyle w:val="Footer"/>
      <w:jc w:val="center"/>
    </w:pPr>
    <w:r>
      <w:t>_____________________________________________________________________________________</w:t>
    </w:r>
  </w:p>
  <w:p w14:paraId="6C565260" w14:textId="77777777" w:rsidR="00454D90" w:rsidRDefault="00454D90">
    <w:pPr>
      <w:pStyle w:val="Footer"/>
      <w:jc w:val="center"/>
    </w:pPr>
  </w:p>
  <w:p w14:paraId="1F395210" w14:textId="11427857" w:rsidR="00454D90" w:rsidRDefault="00454D90">
    <w:pPr>
      <w:pStyle w:val="Footer"/>
      <w:jc w:val="center"/>
    </w:pPr>
    <w:sdt>
      <w:sdtPr>
        <w:id w:val="-16758716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F4668">
          <w:rPr>
            <w:noProof/>
          </w:rPr>
          <w:t>20</w:t>
        </w:r>
        <w:r>
          <w:rPr>
            <w:noProof/>
          </w:rPr>
          <w:fldChar w:fldCharType="end"/>
        </w:r>
      </w:sdtContent>
    </w:sdt>
  </w:p>
  <w:p w14:paraId="75C2BBDB" w14:textId="77777777" w:rsidR="00454D90" w:rsidRDefault="00454D90" w:rsidP="00454D90">
    <w:pPr>
      <w:pStyle w:val="Footer"/>
      <w:tabs>
        <w:tab w:val="clear" w:pos="46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4E8E9" w14:textId="46CD44AF" w:rsidR="00454D90" w:rsidRDefault="00454D90">
    <w:pPr>
      <w:pStyle w:val="Footer"/>
      <w:jc w:val="center"/>
    </w:pPr>
    <w:r>
      <w:t>_____________________________________________________________________________________</w:t>
    </w:r>
  </w:p>
  <w:p w14:paraId="4BD0B8BA" w14:textId="77777777" w:rsidR="00454D90" w:rsidRDefault="00454D90">
    <w:pPr>
      <w:pStyle w:val="Footer"/>
      <w:jc w:val="center"/>
    </w:pPr>
  </w:p>
  <w:p w14:paraId="4F72392E" w14:textId="70399607" w:rsidR="00454D90" w:rsidRDefault="00454D90">
    <w:pPr>
      <w:pStyle w:val="Footer"/>
      <w:jc w:val="center"/>
    </w:pPr>
    <w:sdt>
      <w:sdtPr>
        <w:id w:val="-3308425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F4668">
          <w:rPr>
            <w:noProof/>
          </w:rPr>
          <w:t>1</w:t>
        </w:r>
        <w:r>
          <w:rPr>
            <w:noProof/>
          </w:rPr>
          <w:fldChar w:fldCharType="end"/>
        </w:r>
      </w:sdtContent>
    </w:sdt>
  </w:p>
  <w:p w14:paraId="06DCE9C3" w14:textId="77777777" w:rsidR="00454D90" w:rsidRDefault="00454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CD5C3" w14:textId="77777777" w:rsidR="000D70F6" w:rsidRDefault="000D70F6" w:rsidP="00F23AFB">
      <w:pPr>
        <w:spacing w:after="0" w:line="240" w:lineRule="auto"/>
      </w:pPr>
      <w:r>
        <w:separator/>
      </w:r>
    </w:p>
  </w:footnote>
  <w:footnote w:type="continuationSeparator" w:id="0">
    <w:p w14:paraId="31119D79" w14:textId="77777777" w:rsidR="000D70F6" w:rsidRDefault="000D70F6" w:rsidP="00F23AFB">
      <w:pPr>
        <w:spacing w:after="0" w:line="240" w:lineRule="auto"/>
      </w:pPr>
      <w:r>
        <w:continuationSeparator/>
      </w:r>
    </w:p>
  </w:footnote>
  <w:footnote w:id="1">
    <w:p w14:paraId="685F672A" w14:textId="16584179" w:rsidR="002A6E73" w:rsidRPr="002A6E73" w:rsidRDefault="002A6E73">
      <w:pPr>
        <w:pStyle w:val="FootnoteText"/>
        <w:rPr>
          <w:lang w:val="en-GB"/>
        </w:rPr>
      </w:pPr>
      <w:r>
        <w:rPr>
          <w:rStyle w:val="FootnoteReference"/>
        </w:rPr>
        <w:t>*</w:t>
      </w:r>
      <w:r>
        <w:t xml:space="preserve"> </w:t>
      </w:r>
      <w:r>
        <w:rPr>
          <w:rFonts w:ascii="Times New Roman" w:hAnsi="Times New Roman" w:cs="Times New Roman"/>
        </w:rPr>
        <w:t xml:space="preserve">Faculty of Law, University of Victoria, Canada; email gcalder@uvic.ca. </w:t>
      </w:r>
      <w:r w:rsidRPr="00DF1660">
        <w:rPr>
          <w:rFonts w:ascii="Times New Roman" w:hAnsi="Times New Roman" w:cs="Times New Roman"/>
        </w:rPr>
        <w:t>Thank you to Sharon Cowan for a close read and suggested revisions in the most collaborative of ways, and to Jenny Lee for research assistance and her editorial eye.  Huge thanks to the C</w:t>
      </w:r>
      <w:r>
        <w:rPr>
          <w:rFonts w:ascii="Times New Roman" w:hAnsi="Times New Roman" w:cs="Times New Roman"/>
        </w:rPr>
        <w:t xml:space="preserve">entre for </w:t>
      </w:r>
      <w:r w:rsidRPr="00DF1660">
        <w:rPr>
          <w:rFonts w:ascii="Times New Roman" w:hAnsi="Times New Roman" w:cs="Times New Roman"/>
        </w:rPr>
        <w:t>F</w:t>
      </w:r>
      <w:r>
        <w:rPr>
          <w:rFonts w:ascii="Times New Roman" w:hAnsi="Times New Roman" w:cs="Times New Roman"/>
        </w:rPr>
        <w:t xml:space="preserve">eminist </w:t>
      </w:r>
      <w:r w:rsidRPr="00DF1660">
        <w:rPr>
          <w:rFonts w:ascii="Times New Roman" w:hAnsi="Times New Roman" w:cs="Times New Roman"/>
        </w:rPr>
        <w:t>L</w:t>
      </w:r>
      <w:r>
        <w:rPr>
          <w:rFonts w:ascii="Times New Roman" w:hAnsi="Times New Roman" w:cs="Times New Roman"/>
        </w:rPr>
        <w:t xml:space="preserve">egal </w:t>
      </w:r>
      <w:r w:rsidRPr="00DF1660">
        <w:rPr>
          <w:rFonts w:ascii="Times New Roman" w:hAnsi="Times New Roman" w:cs="Times New Roman"/>
        </w:rPr>
        <w:t>S</w:t>
      </w:r>
      <w:r>
        <w:rPr>
          <w:rFonts w:ascii="Times New Roman" w:hAnsi="Times New Roman" w:cs="Times New Roman"/>
        </w:rPr>
        <w:t>tudies</w:t>
      </w:r>
      <w:r w:rsidRPr="00DF1660">
        <w:rPr>
          <w:rFonts w:ascii="Times New Roman" w:hAnsi="Times New Roman" w:cs="Times New Roman"/>
        </w:rPr>
        <w:t xml:space="preserve"> Writing Group for inspiration, connection and the space to write.</w:t>
      </w:r>
    </w:p>
  </w:footnote>
  <w:footnote w:id="2">
    <w:p w14:paraId="1C23F6D6" w14:textId="7F75B251" w:rsidR="00955B7B" w:rsidRPr="00DF1660" w:rsidRDefault="007D6A93" w:rsidP="00DC365D">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Florence Ashley, “L’In/visibilité constitutive du sujet trans : l’exemple du droit Québécois” (2020) 35(2) </w:t>
      </w:r>
      <w:r w:rsidRPr="00DF1660">
        <w:rPr>
          <w:rFonts w:ascii="Times New Roman" w:hAnsi="Times New Roman" w:cs="Times New Roman"/>
          <w:i/>
        </w:rPr>
        <w:t>Canadian Journal of Law and Society</w:t>
      </w:r>
      <w:r w:rsidRPr="00DF1660">
        <w:rPr>
          <w:rFonts w:ascii="Times New Roman" w:hAnsi="Times New Roman" w:cs="Times New Roman"/>
        </w:rPr>
        <w:t xml:space="preserve"> 317-340 at 338 [Ashley]. </w:t>
      </w:r>
    </w:p>
  </w:footnote>
  <w:footnote w:id="3">
    <w:p w14:paraId="3AEC0E01" w14:textId="44A1905C" w:rsidR="007D6A93" w:rsidRPr="00DF1660" w:rsidRDefault="007D6A93" w:rsidP="00A65D06">
      <w:pPr>
        <w:autoSpaceDE w:val="0"/>
        <w:autoSpaceDN w:val="0"/>
        <w:adjustRightInd w:val="0"/>
        <w:spacing w:after="0" w:line="240" w:lineRule="auto"/>
        <w:rPr>
          <w:rFonts w:ascii="Times New Roman" w:hAnsi="Times New Roman" w:cs="Times New Roman"/>
          <w:bCs/>
          <w:sz w:val="20"/>
          <w:szCs w:val="20"/>
        </w:rPr>
      </w:pPr>
      <w:r w:rsidRPr="00DF1660">
        <w:rPr>
          <w:rStyle w:val="FootnoteReference"/>
          <w:rFonts w:ascii="Times New Roman" w:hAnsi="Times New Roman" w:cs="Times New Roman"/>
          <w:sz w:val="20"/>
          <w:szCs w:val="20"/>
        </w:rPr>
        <w:footnoteRef/>
      </w:r>
      <w:r w:rsidRPr="00DF1660">
        <w:rPr>
          <w:rFonts w:ascii="Times New Roman" w:hAnsi="Times New Roman" w:cs="Times New Roman"/>
          <w:sz w:val="20"/>
          <w:szCs w:val="20"/>
        </w:rPr>
        <w:t xml:space="preserve"> Florence Ashley, “</w:t>
      </w:r>
      <w:r w:rsidRPr="00DF1660">
        <w:rPr>
          <w:rFonts w:ascii="Times New Roman" w:hAnsi="Times New Roman" w:cs="Times New Roman"/>
          <w:bCs/>
          <w:sz w:val="20"/>
          <w:szCs w:val="20"/>
        </w:rPr>
        <w:t xml:space="preserve">The Constitutive In/visibility of the Trans Legal Subject: A Case Study” (2021) 28(1) </w:t>
      </w:r>
      <w:r w:rsidRPr="00DF1660">
        <w:rPr>
          <w:rFonts w:ascii="Times New Roman" w:hAnsi="Times New Roman" w:cs="Times New Roman"/>
          <w:bCs/>
          <w:i/>
          <w:sz w:val="20"/>
          <w:szCs w:val="20"/>
        </w:rPr>
        <w:t xml:space="preserve">UCLA </w:t>
      </w:r>
      <w:r w:rsidRPr="00DF1660">
        <w:rPr>
          <w:rFonts w:ascii="Times New Roman" w:hAnsi="Times New Roman" w:cs="Times New Roman"/>
          <w:bCs/>
          <w:sz w:val="20"/>
          <w:szCs w:val="20"/>
        </w:rPr>
        <w:t xml:space="preserve"> </w:t>
      </w:r>
      <w:r w:rsidRPr="001E2C99">
        <w:rPr>
          <w:rFonts w:ascii="Times New Roman" w:hAnsi="Times New Roman" w:cs="Times New Roman"/>
          <w:bCs/>
          <w:i/>
          <w:sz w:val="20"/>
          <w:szCs w:val="20"/>
        </w:rPr>
        <w:t>Women’s L.J.</w:t>
      </w:r>
      <w:r w:rsidRPr="00DF1660">
        <w:rPr>
          <w:rFonts w:ascii="Times New Roman" w:hAnsi="Times New Roman" w:cs="Times New Roman"/>
          <w:bCs/>
          <w:sz w:val="20"/>
          <w:szCs w:val="20"/>
        </w:rPr>
        <w:t xml:space="preserve"> </w:t>
      </w:r>
      <w:r w:rsidRPr="00DF1660">
        <w:rPr>
          <w:rFonts w:ascii="Times New Roman" w:hAnsi="Times New Roman" w:cs="Times New Roman"/>
          <w:sz w:val="20"/>
          <w:szCs w:val="20"/>
        </w:rPr>
        <w:t xml:space="preserve">forthcoming at 36 (draft on file with author). See also Vivian Namaste, </w:t>
      </w:r>
      <w:r w:rsidRPr="00DF1660">
        <w:rPr>
          <w:rFonts w:ascii="Times New Roman" w:hAnsi="Times New Roman" w:cs="Times New Roman"/>
          <w:i/>
          <w:sz w:val="20"/>
          <w:szCs w:val="20"/>
        </w:rPr>
        <w:t>Sex Change, Social Change</w:t>
      </w:r>
      <w:r w:rsidR="001E2C99">
        <w:rPr>
          <w:rFonts w:ascii="Times New Roman" w:hAnsi="Times New Roman" w:cs="Times New Roman"/>
          <w:i/>
          <w:sz w:val="20"/>
          <w:szCs w:val="20"/>
        </w:rPr>
        <w:t>:</w:t>
      </w:r>
      <w:r w:rsidRPr="00DF1660">
        <w:rPr>
          <w:rFonts w:ascii="Times New Roman" w:hAnsi="Times New Roman" w:cs="Times New Roman"/>
          <w:i/>
          <w:sz w:val="20"/>
          <w:szCs w:val="20"/>
        </w:rPr>
        <w:t xml:space="preserve"> Reflections on Identity, Institutions and Imperialism, </w:t>
      </w:r>
      <w:r w:rsidR="001E2C99">
        <w:rPr>
          <w:rFonts w:ascii="Times New Roman" w:hAnsi="Times New Roman" w:cs="Times New Roman"/>
          <w:sz w:val="20"/>
          <w:szCs w:val="20"/>
        </w:rPr>
        <w:t>2nd ed</w:t>
      </w:r>
      <w:r w:rsidR="00B36CDA">
        <w:rPr>
          <w:rFonts w:ascii="Times New Roman" w:hAnsi="Times New Roman" w:cs="Times New Roman"/>
          <w:sz w:val="20"/>
          <w:szCs w:val="20"/>
        </w:rPr>
        <w:t>.</w:t>
      </w:r>
      <w:r w:rsidRPr="00DF1660">
        <w:rPr>
          <w:rFonts w:ascii="Times New Roman" w:hAnsi="Times New Roman" w:cs="Times New Roman"/>
          <w:sz w:val="20"/>
          <w:szCs w:val="20"/>
        </w:rPr>
        <w:t xml:space="preserve"> (Toronto: Women’s Press, 2011) at 15-41 and Dean Spade, </w:t>
      </w:r>
      <w:r w:rsidRPr="00DF1660">
        <w:rPr>
          <w:rFonts w:ascii="Times New Roman" w:hAnsi="Times New Roman" w:cs="Times New Roman"/>
          <w:i/>
          <w:sz w:val="20"/>
          <w:szCs w:val="20"/>
        </w:rPr>
        <w:t>Normal Life</w:t>
      </w:r>
      <w:r w:rsidRPr="00DF1660">
        <w:rPr>
          <w:rFonts w:ascii="Times New Roman" w:hAnsi="Times New Roman" w:cs="Times New Roman"/>
          <w:sz w:val="20"/>
          <w:szCs w:val="20"/>
        </w:rPr>
        <w:t xml:space="preserve"> (Brooklyn: South End Press, 2011) [Spade].</w:t>
      </w:r>
    </w:p>
  </w:footnote>
  <w:footnote w:id="4">
    <w:p w14:paraId="3972B641" w14:textId="14F8A6E9" w:rsidR="00955B7B" w:rsidRDefault="00955B7B">
      <w:pPr>
        <w:pStyle w:val="FootnoteText"/>
      </w:pPr>
      <w:r>
        <w:rPr>
          <w:rStyle w:val="FootnoteReference"/>
        </w:rPr>
        <w:footnoteRef/>
      </w:r>
      <w:r>
        <w:t xml:space="preserve"> </w:t>
      </w:r>
      <w:r>
        <w:rPr>
          <w:rFonts w:ascii="Times New Roman" w:hAnsi="Times New Roman" w:cs="Times New Roman"/>
        </w:rPr>
        <w:t xml:space="preserve">The complete volume is available online: </w:t>
      </w:r>
      <w:hyperlink r:id="rId1" w:history="1">
        <w:r w:rsidRPr="00FF0BCE">
          <w:rPr>
            <w:rStyle w:val="Hyperlink"/>
            <w:rFonts w:ascii="Times New Roman" w:hAnsi="Times New Roman" w:cs="Times New Roman"/>
          </w:rPr>
          <w:t>https://www.cambridge.org/core/journals/canadian-journal-of-law-and-society-la-revue-canadienne-droit-et-societe/issue/04C432962B4FC19D091F7DC3548D1794</w:t>
        </w:r>
      </w:hyperlink>
      <w:r>
        <w:rPr>
          <w:rFonts w:ascii="Times New Roman" w:hAnsi="Times New Roman" w:cs="Times New Roman"/>
        </w:rPr>
        <w:t>.</w:t>
      </w:r>
    </w:p>
  </w:footnote>
  <w:footnote w:id="5">
    <w:p w14:paraId="0CE20E43" w14:textId="73AD83CE"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See for example</w:t>
      </w:r>
      <w:r w:rsidR="001E2C99">
        <w:rPr>
          <w:rFonts w:ascii="Times New Roman" w:hAnsi="Times New Roman" w:cs="Times New Roman"/>
        </w:rPr>
        <w:t>,</w:t>
      </w:r>
      <w:r w:rsidRPr="00DF1660">
        <w:rPr>
          <w:rFonts w:ascii="Times New Roman" w:hAnsi="Times New Roman" w:cs="Times New Roman"/>
        </w:rPr>
        <w:t xml:space="preserve"> </w:t>
      </w:r>
      <w:r w:rsidRPr="00DF1660">
        <w:rPr>
          <w:rFonts w:ascii="Times New Roman" w:hAnsi="Times New Roman" w:cs="Times New Roman"/>
          <w:i/>
        </w:rPr>
        <w:t xml:space="preserve">An Act to Amend the Canadian Human Rights Act and the Criminal </w:t>
      </w:r>
      <w:r w:rsidRPr="001E2C99">
        <w:rPr>
          <w:rFonts w:ascii="Times New Roman" w:hAnsi="Times New Roman" w:cs="Times New Roman"/>
          <w:i/>
        </w:rPr>
        <w:t>Code</w:t>
      </w:r>
      <w:r w:rsidRPr="00DF1660">
        <w:rPr>
          <w:rFonts w:ascii="Times New Roman" w:hAnsi="Times New Roman" w:cs="Times New Roman"/>
        </w:rPr>
        <w:t xml:space="preserve">, SC 2017, c. 13 [Bill C-16] and </w:t>
      </w:r>
      <w:r w:rsidRPr="00DF1660">
        <w:rPr>
          <w:rFonts w:ascii="Times New Roman" w:hAnsi="Times New Roman" w:cs="Times New Roman"/>
          <w:i/>
        </w:rPr>
        <w:t>Affirming Sexual Orientation and Gender Identity Act</w:t>
      </w:r>
      <w:r w:rsidRPr="00DF1660">
        <w:rPr>
          <w:rFonts w:ascii="Times New Roman" w:hAnsi="Times New Roman" w:cs="Times New Roman"/>
        </w:rPr>
        <w:t>, SO 2015, c. 18 [Bill 77].</w:t>
      </w:r>
    </w:p>
  </w:footnote>
  <w:footnote w:id="6">
    <w:p w14:paraId="512075F3" w14:textId="6FD99B99"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In December 2020 the BC Provincial and Supreme Courts gave notice to the profession of a change in forms of address for parties and lawyers in court, asking people to state their name, title and pronouns to be used in the proceedings. See: </w:t>
      </w:r>
      <w:hyperlink r:id="rId2" w:history="1">
        <w:r w:rsidRPr="00DF1660">
          <w:rPr>
            <w:rStyle w:val="Hyperlink"/>
            <w:rFonts w:ascii="Times New Roman" w:hAnsi="Times New Roman" w:cs="Times New Roman"/>
          </w:rPr>
          <w:t>https://www.provincialcourt.bc.ca/enews/enews-16-12-2020</w:t>
        </w:r>
      </w:hyperlink>
      <w:r w:rsidRPr="00DF1660">
        <w:rPr>
          <w:rFonts w:ascii="Times New Roman" w:hAnsi="Times New Roman" w:cs="Times New Roman"/>
        </w:rPr>
        <w:t xml:space="preserve"> and </w:t>
      </w:r>
      <w:hyperlink r:id="rId3" w:history="1">
        <w:r w:rsidRPr="00DF1660">
          <w:rPr>
            <w:rStyle w:val="Hyperlink"/>
            <w:rFonts w:ascii="Times New Roman" w:hAnsi="Times New Roman" w:cs="Times New Roman"/>
          </w:rPr>
          <w:t>https://www.bccourts.ca/supreme_court/practice_and_procedure/practice_directions/civil/PD-59_Forms_of_Address_for_Parties_and_Counsel_in_Proceedings.pdf</w:t>
        </w:r>
      </w:hyperlink>
      <w:r w:rsidRPr="00DF1660">
        <w:rPr>
          <w:rFonts w:ascii="Times New Roman" w:hAnsi="Times New Roman" w:cs="Times New Roman"/>
        </w:rPr>
        <w:t>.</w:t>
      </w:r>
    </w:p>
  </w:footnote>
  <w:footnote w:id="7">
    <w:p w14:paraId="430C7173" w14:textId="5239EF06"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Recent stories in North American pop culture include actor Elliot Page coming out as trans and non-binary: </w:t>
      </w:r>
      <w:hyperlink r:id="rId4" w:history="1">
        <w:r w:rsidRPr="00DF1660">
          <w:rPr>
            <w:rStyle w:val="Hyperlink"/>
            <w:rFonts w:ascii="Times New Roman" w:hAnsi="Times New Roman" w:cs="Times New Roman"/>
            <w:shd w:val="clear" w:color="auto" w:fill="FFFFFF"/>
          </w:rPr>
          <w:t>https://www.instagram.com/p/CIQ1QFBhNFg/?utm_source=ig_web_copy_link</w:t>
        </w:r>
      </w:hyperlink>
      <w:r w:rsidRPr="00DF1660">
        <w:rPr>
          <w:rFonts w:ascii="Times New Roman" w:hAnsi="Times New Roman" w:cs="Times New Roman"/>
        </w:rPr>
        <w:t xml:space="preserve">; the career of Laverne Cox: </w:t>
      </w:r>
      <w:hyperlink r:id="rId5" w:history="1">
        <w:r w:rsidRPr="00DF1660">
          <w:rPr>
            <w:rStyle w:val="Hyperlink"/>
            <w:rFonts w:ascii="Times New Roman" w:hAnsi="Times New Roman" w:cs="Times New Roman"/>
          </w:rPr>
          <w:t>https://time.com/magazine/us/135460/june-9th-2014-vol-183-no-22-u-s/</w:t>
        </w:r>
      </w:hyperlink>
      <w:r w:rsidRPr="00DF1660">
        <w:rPr>
          <w:rFonts w:ascii="Times New Roman" w:hAnsi="Times New Roman" w:cs="Times New Roman"/>
        </w:rPr>
        <w:t xml:space="preserve">; and the high profile transition of Caitlyn Jenner: </w:t>
      </w:r>
      <w:hyperlink r:id="rId6" w:history="1">
        <w:r w:rsidRPr="00DF1660">
          <w:rPr>
            <w:rStyle w:val="Hyperlink"/>
            <w:rFonts w:ascii="Times New Roman" w:hAnsi="Times New Roman" w:cs="Times New Roman"/>
          </w:rPr>
          <w:t>https://www.vanityfair.com/hollywood/2015/06/caitlyn-jenner-bruce-cover-annie-leibovitz</w:t>
        </w:r>
      </w:hyperlink>
      <w:r w:rsidRPr="00DF1660">
        <w:rPr>
          <w:rFonts w:ascii="Times New Roman" w:hAnsi="Times New Roman" w:cs="Times New Roman"/>
        </w:rPr>
        <w:t>.</w:t>
      </w:r>
    </w:p>
  </w:footnote>
  <w:footnote w:id="8">
    <w:p w14:paraId="7025526E" w14:textId="505F5635"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See for example the work of the Chair in Transgender Studies at the University of Victoria: </w:t>
      </w:r>
      <w:hyperlink r:id="rId7" w:history="1">
        <w:r w:rsidRPr="00DF1660">
          <w:rPr>
            <w:rStyle w:val="Hyperlink"/>
            <w:rFonts w:ascii="Times New Roman" w:hAnsi="Times New Roman" w:cs="Times New Roman"/>
          </w:rPr>
          <w:t>https://www.uvic.ca/research/transchair/about/index.php</w:t>
        </w:r>
      </w:hyperlink>
      <w:r w:rsidRPr="00DF1660">
        <w:rPr>
          <w:rFonts w:ascii="Times New Roman" w:hAnsi="Times New Roman" w:cs="Times New Roman"/>
        </w:rPr>
        <w:t>; and recent dedi</w:t>
      </w:r>
      <w:r w:rsidR="001E2C99">
        <w:rPr>
          <w:rFonts w:ascii="Times New Roman" w:hAnsi="Times New Roman" w:cs="Times New Roman"/>
        </w:rPr>
        <w:t>cated volumes in the UK context on</w:t>
      </w:r>
      <w:r w:rsidRPr="00DF1660">
        <w:rPr>
          <w:rFonts w:ascii="Times New Roman" w:hAnsi="Times New Roman" w:cs="Times New Roman"/>
        </w:rPr>
        <w:t xml:space="preserve"> Trans Temporalities: </w:t>
      </w:r>
      <w:hyperlink r:id="rId8" w:history="1">
        <w:r w:rsidRPr="00DF1660">
          <w:rPr>
            <w:rStyle w:val="Hyperlink"/>
            <w:rFonts w:ascii="Times New Roman" w:hAnsi="Times New Roman" w:cs="Times New Roman"/>
          </w:rPr>
          <w:t>https://www.euppublishing.com/toc/soma/7/1</w:t>
        </w:r>
      </w:hyperlink>
      <w:r w:rsidRPr="00DF1660">
        <w:rPr>
          <w:rFonts w:ascii="Times New Roman" w:hAnsi="Times New Roman" w:cs="Times New Roman"/>
        </w:rPr>
        <w:t xml:space="preserve"> and on gender decertification: </w:t>
      </w:r>
      <w:hyperlink r:id="rId9" w:history="1">
        <w:r w:rsidRPr="00DF1660">
          <w:rPr>
            <w:rStyle w:val="Hyperlink"/>
            <w:rFonts w:ascii="Times New Roman" w:hAnsi="Times New Roman" w:cs="Times New Roman"/>
          </w:rPr>
          <w:t>https://journals.kent.ac.uk/index.php/feministsatlaw/issue/view/45</w:t>
        </w:r>
      </w:hyperlink>
      <w:r w:rsidRPr="00DF1660">
        <w:rPr>
          <w:rFonts w:ascii="Times New Roman" w:hAnsi="Times New Roman" w:cs="Times New Roman"/>
        </w:rPr>
        <w:t>.</w:t>
      </w:r>
    </w:p>
  </w:footnote>
  <w:footnote w:id="9">
    <w:p w14:paraId="1DBE2E0A" w14:textId="5696ADF7"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See for example, Erin </w:t>
      </w:r>
      <w:proofErr w:type="spellStart"/>
      <w:r w:rsidRPr="00DF1660">
        <w:rPr>
          <w:rFonts w:ascii="Times New Roman" w:hAnsi="Times New Roman" w:cs="Times New Roman"/>
        </w:rPr>
        <w:t>Donaghue</w:t>
      </w:r>
      <w:proofErr w:type="spellEnd"/>
      <w:r w:rsidRPr="00DF1660">
        <w:rPr>
          <w:rFonts w:ascii="Times New Roman" w:hAnsi="Times New Roman" w:cs="Times New Roman"/>
        </w:rPr>
        <w:t xml:space="preserve">, </w:t>
      </w:r>
      <w:r w:rsidR="005560C8">
        <w:rPr>
          <w:rFonts w:ascii="Times New Roman" w:hAnsi="Times New Roman" w:cs="Times New Roman"/>
        </w:rPr>
        <w:t>“‘</w:t>
      </w:r>
      <w:r w:rsidRPr="001E2C99">
        <w:rPr>
          <w:rFonts w:ascii="Times New Roman" w:hAnsi="Times New Roman" w:cs="Times New Roman"/>
          <w:iCs/>
        </w:rPr>
        <w:t>Horrific spike</w:t>
      </w:r>
      <w:r w:rsidR="005560C8">
        <w:rPr>
          <w:rFonts w:ascii="Times New Roman" w:hAnsi="Times New Roman" w:cs="Times New Roman"/>
          <w:iCs/>
        </w:rPr>
        <w:t>’</w:t>
      </w:r>
      <w:r w:rsidRPr="001E2C99">
        <w:rPr>
          <w:rFonts w:ascii="Times New Roman" w:hAnsi="Times New Roman" w:cs="Times New Roman"/>
          <w:iCs/>
        </w:rPr>
        <w:t xml:space="preserve"> in fatal violence against transgender community</w:t>
      </w:r>
      <w:r w:rsidR="005560C8">
        <w:rPr>
          <w:rFonts w:ascii="Times New Roman" w:hAnsi="Times New Roman" w:cs="Times New Roman"/>
          <w:iCs/>
        </w:rPr>
        <w:t>”</w:t>
      </w:r>
      <w:r w:rsidRPr="00DF1660">
        <w:rPr>
          <w:rFonts w:ascii="Times New Roman" w:hAnsi="Times New Roman" w:cs="Times New Roman"/>
          <w:i/>
          <w:iCs/>
        </w:rPr>
        <w:t xml:space="preserve"> </w:t>
      </w:r>
      <w:r w:rsidRPr="00DF1660">
        <w:rPr>
          <w:rFonts w:ascii="Times New Roman" w:hAnsi="Times New Roman" w:cs="Times New Roman"/>
        </w:rPr>
        <w:t>(July 2020), CBS News</w:t>
      </w:r>
      <w:r w:rsidR="001E2C99">
        <w:rPr>
          <w:rFonts w:ascii="Times New Roman" w:hAnsi="Times New Roman" w:cs="Times New Roman"/>
        </w:rPr>
        <w:t>:</w:t>
      </w:r>
      <w:r w:rsidRPr="00DF1660">
        <w:rPr>
          <w:rFonts w:ascii="Times New Roman" w:hAnsi="Times New Roman" w:cs="Times New Roman"/>
        </w:rPr>
        <w:t xml:space="preserve"> </w:t>
      </w:r>
      <w:hyperlink r:id="rId10" w:history="1">
        <w:r w:rsidRPr="00DF1660">
          <w:rPr>
            <w:rStyle w:val="Hyperlink"/>
            <w:rFonts w:ascii="Times New Roman" w:hAnsi="Times New Roman" w:cs="Times New Roman"/>
          </w:rPr>
          <w:t>https://www.cbsnews.com/news/transgender-community-fatal-violence-spike/</w:t>
        </w:r>
      </w:hyperlink>
      <w:r w:rsidRPr="00DF1660">
        <w:rPr>
          <w:rFonts w:ascii="Times New Roman" w:hAnsi="Times New Roman" w:cs="Times New Roman"/>
        </w:rPr>
        <w:t xml:space="preserve">. </w:t>
      </w:r>
    </w:p>
  </w:footnote>
  <w:footnote w:id="10">
    <w:p w14:paraId="23F8FF11" w14:textId="0BE638E6"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See for example, Human Rights Campaign, </w:t>
      </w:r>
      <w:r w:rsidR="005560C8">
        <w:rPr>
          <w:rFonts w:ascii="Times New Roman" w:hAnsi="Times New Roman" w:cs="Times New Roman"/>
        </w:rPr>
        <w:t>“</w:t>
      </w:r>
      <w:r w:rsidRPr="001E2C99">
        <w:rPr>
          <w:rFonts w:ascii="Times New Roman" w:hAnsi="Times New Roman" w:cs="Times New Roman"/>
          <w:iCs/>
        </w:rPr>
        <w:t>Fatal Violence Against the Transgender and Gender Non-Conforming Community in 2020</w:t>
      </w:r>
      <w:r w:rsidR="005560C8">
        <w:rPr>
          <w:rFonts w:ascii="Times New Roman" w:hAnsi="Times New Roman" w:cs="Times New Roman"/>
          <w:iCs/>
        </w:rPr>
        <w:t>”</w:t>
      </w:r>
      <w:r w:rsidRPr="00DF1660">
        <w:rPr>
          <w:rFonts w:ascii="Times New Roman" w:hAnsi="Times New Roman" w:cs="Times New Roman"/>
          <w:i/>
          <w:iCs/>
        </w:rPr>
        <w:t xml:space="preserve"> </w:t>
      </w:r>
      <w:r w:rsidRPr="00DF1660">
        <w:rPr>
          <w:rFonts w:ascii="Times New Roman" w:hAnsi="Times New Roman" w:cs="Times New Roman"/>
        </w:rPr>
        <w:t xml:space="preserve">(2020): </w:t>
      </w:r>
      <w:hyperlink r:id="rId11" w:history="1">
        <w:r w:rsidRPr="00DF1660">
          <w:rPr>
            <w:rStyle w:val="Hyperlink"/>
            <w:rFonts w:ascii="Times New Roman" w:hAnsi="Times New Roman" w:cs="Times New Roman"/>
          </w:rPr>
          <w:t>https://www.hrc.org/resources/violence-against-the-trans-and-gender-non-conforming-community-in-2020</w:t>
        </w:r>
      </w:hyperlink>
      <w:r w:rsidRPr="00DF1660">
        <w:rPr>
          <w:rFonts w:ascii="Times New Roman" w:hAnsi="Times New Roman" w:cs="Times New Roman"/>
        </w:rPr>
        <w:t>.</w:t>
      </w:r>
    </w:p>
  </w:footnote>
  <w:footnote w:id="11">
    <w:p w14:paraId="225DE2F4" w14:textId="2FABCD3A"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Jackson Bird, </w:t>
      </w:r>
      <w:r w:rsidR="005560C8">
        <w:rPr>
          <w:rFonts w:ascii="Times New Roman" w:hAnsi="Times New Roman" w:cs="Times New Roman"/>
        </w:rPr>
        <w:t>“</w:t>
      </w:r>
      <w:r w:rsidRPr="001E2C99">
        <w:rPr>
          <w:rFonts w:ascii="Times New Roman" w:hAnsi="Times New Roman" w:cs="Times New Roman"/>
          <w:iCs/>
        </w:rPr>
        <w:t>Harry Potter Helped Me Come Out as Trans, But J.K. Rowling Disappointed Me</w:t>
      </w:r>
      <w:r w:rsidR="005560C8">
        <w:rPr>
          <w:rFonts w:ascii="Times New Roman" w:hAnsi="Times New Roman" w:cs="Times New Roman"/>
          <w:iCs/>
        </w:rPr>
        <w:t>”</w:t>
      </w:r>
      <w:r w:rsidRPr="001E2C99">
        <w:rPr>
          <w:rFonts w:ascii="Times New Roman" w:hAnsi="Times New Roman" w:cs="Times New Roman"/>
        </w:rPr>
        <w:t xml:space="preserve"> </w:t>
      </w:r>
      <w:r w:rsidR="001E2C99">
        <w:rPr>
          <w:rFonts w:ascii="Times New Roman" w:hAnsi="Times New Roman" w:cs="Times New Roman"/>
        </w:rPr>
        <w:t xml:space="preserve">(December 2019), </w:t>
      </w:r>
      <w:r w:rsidRPr="005560C8">
        <w:rPr>
          <w:rFonts w:ascii="Times New Roman" w:hAnsi="Times New Roman" w:cs="Times New Roman"/>
          <w:i/>
        </w:rPr>
        <w:t>The New York Times</w:t>
      </w:r>
      <w:r w:rsidR="005560C8">
        <w:rPr>
          <w:rFonts w:ascii="Times New Roman" w:hAnsi="Times New Roman" w:cs="Times New Roman"/>
        </w:rPr>
        <w:t>:</w:t>
      </w:r>
      <w:r w:rsidRPr="00DF1660">
        <w:rPr>
          <w:rFonts w:ascii="Times New Roman" w:hAnsi="Times New Roman" w:cs="Times New Roman"/>
        </w:rPr>
        <w:t xml:space="preserve"> </w:t>
      </w:r>
      <w:hyperlink r:id="rId12" w:history="1">
        <w:r w:rsidRPr="00DF1660">
          <w:rPr>
            <w:rStyle w:val="Hyperlink"/>
            <w:rFonts w:ascii="Times New Roman" w:hAnsi="Times New Roman" w:cs="Times New Roman"/>
          </w:rPr>
          <w:t>https://www.nytimes.com/2019/12/21/opinion/jk-rowling-twitter-trans.html</w:t>
        </w:r>
      </w:hyperlink>
      <w:r w:rsidRPr="00DF1660">
        <w:rPr>
          <w:rFonts w:ascii="Times New Roman" w:hAnsi="Times New Roman" w:cs="Times New Roman"/>
        </w:rPr>
        <w:t xml:space="preserve">. </w:t>
      </w:r>
    </w:p>
  </w:footnote>
  <w:footnote w:id="12">
    <w:p w14:paraId="00032598" w14:textId="75DAD3FB"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See for example, </w:t>
      </w:r>
      <w:hyperlink r:id="rId13" w:history="1">
        <w:r w:rsidRPr="00DF1660">
          <w:rPr>
            <w:rStyle w:val="Hyperlink"/>
            <w:rFonts w:ascii="Times New Roman" w:hAnsi="Times New Roman" w:cs="Times New Roman"/>
          </w:rPr>
          <w:t>https://www.insidehighered.com/news/2019/07/19/divide-over-scholarly-debate-over-gender-identity-rages</w:t>
        </w:r>
      </w:hyperlink>
      <w:r w:rsidRPr="00DF1660">
        <w:rPr>
          <w:rFonts w:ascii="Times New Roman" w:hAnsi="Times New Roman" w:cs="Times New Roman"/>
        </w:rPr>
        <w:t xml:space="preserve"> on the derogatorily entitled “TERF” debates; and similar long-standing debates in Canada: </w:t>
      </w:r>
      <w:hyperlink r:id="rId14" w:history="1">
        <w:r w:rsidRPr="00DF1660">
          <w:rPr>
            <w:rStyle w:val="Hyperlink"/>
            <w:rFonts w:ascii="Times New Roman" w:hAnsi="Times New Roman" w:cs="Times New Roman"/>
          </w:rPr>
          <w:t>https://www.theglobeandmail.com/opinion/article-the-targeting-of-other-women-shows-meghan-murphy-is-no-feminist/</w:t>
        </w:r>
      </w:hyperlink>
      <w:r w:rsidRPr="00DF1660">
        <w:rPr>
          <w:rFonts w:ascii="Times New Roman" w:hAnsi="Times New Roman" w:cs="Times New Roman"/>
        </w:rPr>
        <w:t xml:space="preserve">.  See also this interview with Judith Butler for a critique of the equation of “TERFS” and mainstream feminists: </w:t>
      </w:r>
      <w:hyperlink r:id="rId15" w:history="1">
        <w:r w:rsidRPr="00DF1660">
          <w:rPr>
            <w:rStyle w:val="Hyperlink"/>
            <w:rFonts w:ascii="Times New Roman" w:hAnsi="Times New Roman" w:cs="Times New Roman"/>
          </w:rPr>
          <w:t>https://www.newstatesman.com/international/2020/09/judith-butler-culture-wars-jk-rowling-and-living-anti-intellectual-times</w:t>
        </w:r>
      </w:hyperlink>
      <w:r w:rsidRPr="00DF1660">
        <w:rPr>
          <w:rFonts w:ascii="Times New Roman" w:hAnsi="Times New Roman" w:cs="Times New Roman"/>
        </w:rPr>
        <w:t>.</w:t>
      </w:r>
    </w:p>
  </w:footnote>
  <w:footnote w:id="13">
    <w:p w14:paraId="3893748F" w14:textId="20ABB811" w:rsidR="007D6A93" w:rsidRPr="00DF1660" w:rsidRDefault="007D6A93" w:rsidP="00733774">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For a discussion of non-action as a “mi</w:t>
      </w:r>
      <w:r w:rsidR="005560C8">
        <w:rPr>
          <w:rFonts w:ascii="Times New Roman" w:hAnsi="Times New Roman" w:cs="Times New Roman"/>
        </w:rPr>
        <w:t>ssed opportunity” in the UK see</w:t>
      </w:r>
      <w:r w:rsidRPr="00DF1660">
        <w:rPr>
          <w:rFonts w:ascii="Times New Roman" w:hAnsi="Times New Roman" w:cs="Times New Roman"/>
        </w:rPr>
        <w:t xml:space="preserve"> Simon Murphy </w:t>
      </w:r>
      <w:r w:rsidR="007E245A" w:rsidRPr="00DF1660">
        <w:rPr>
          <w:rFonts w:ascii="Times New Roman" w:hAnsi="Times New Roman" w:cs="Times New Roman"/>
        </w:rPr>
        <w:t>and</w:t>
      </w:r>
      <w:r w:rsidRPr="00DF1660">
        <w:rPr>
          <w:rFonts w:ascii="Times New Roman" w:hAnsi="Times New Roman" w:cs="Times New Roman"/>
        </w:rPr>
        <w:t xml:space="preserve"> Libby Brooks, </w:t>
      </w:r>
      <w:r w:rsidR="005560C8">
        <w:rPr>
          <w:rFonts w:ascii="Times New Roman" w:hAnsi="Times New Roman" w:cs="Times New Roman"/>
        </w:rPr>
        <w:t>“</w:t>
      </w:r>
      <w:r w:rsidRPr="005560C8">
        <w:rPr>
          <w:rFonts w:ascii="Times New Roman" w:hAnsi="Times New Roman" w:cs="Times New Roman"/>
          <w:iCs/>
        </w:rPr>
        <w:t>UK government drops gender self-identification plan for trans people</w:t>
      </w:r>
      <w:r w:rsidR="005560C8">
        <w:rPr>
          <w:rFonts w:ascii="Times New Roman" w:hAnsi="Times New Roman" w:cs="Times New Roman"/>
          <w:iCs/>
        </w:rPr>
        <w:t>”</w:t>
      </w:r>
      <w:r w:rsidR="005560C8">
        <w:rPr>
          <w:rFonts w:ascii="Times New Roman" w:hAnsi="Times New Roman" w:cs="Times New Roman"/>
        </w:rPr>
        <w:t xml:space="preserve"> (September 2020),</w:t>
      </w:r>
      <w:r w:rsidRPr="00DF1660">
        <w:rPr>
          <w:rFonts w:ascii="Times New Roman" w:hAnsi="Times New Roman" w:cs="Times New Roman"/>
        </w:rPr>
        <w:t xml:space="preserve"> </w:t>
      </w:r>
      <w:r w:rsidRPr="005560C8">
        <w:rPr>
          <w:rFonts w:ascii="Times New Roman" w:hAnsi="Times New Roman" w:cs="Times New Roman"/>
          <w:i/>
        </w:rPr>
        <w:t>The Guardian</w:t>
      </w:r>
      <w:r w:rsidR="005560C8">
        <w:rPr>
          <w:rFonts w:ascii="Times New Roman" w:hAnsi="Times New Roman" w:cs="Times New Roman"/>
        </w:rPr>
        <w:t xml:space="preserve">: </w:t>
      </w:r>
      <w:hyperlink r:id="rId16" w:history="1">
        <w:r w:rsidRPr="00DF1660">
          <w:rPr>
            <w:rStyle w:val="Hyperlink"/>
            <w:rFonts w:ascii="Times New Roman" w:hAnsi="Times New Roman" w:cs="Times New Roman"/>
          </w:rPr>
          <w:t>https://www.theguardian.com/society/2020/sep/22/uk-government-drops-gender-self-identification-plan-for-trans-people</w:t>
        </w:r>
      </w:hyperlink>
      <w:r w:rsidRPr="00DF1660">
        <w:rPr>
          <w:rFonts w:ascii="Times New Roman" w:hAnsi="Times New Roman" w:cs="Times New Roman"/>
        </w:rPr>
        <w:t>.</w:t>
      </w:r>
    </w:p>
  </w:footnote>
  <w:footnote w:id="14">
    <w:p w14:paraId="0BEB61AD" w14:textId="6248278C" w:rsidR="007D6A93" w:rsidRPr="008F6A29" w:rsidRDefault="007D6A93" w:rsidP="00174284">
      <w:pPr>
        <w:shd w:val="clear" w:color="auto" w:fill="FFFFFF"/>
        <w:spacing w:after="0" w:line="240" w:lineRule="auto"/>
        <w:rPr>
          <w:rFonts w:ascii="Times New Roman" w:eastAsia="Times New Roman" w:hAnsi="Times New Roman" w:cs="Times New Roman"/>
          <w:sz w:val="20"/>
          <w:szCs w:val="20"/>
        </w:rPr>
      </w:pPr>
      <w:r w:rsidRPr="00242042">
        <w:rPr>
          <w:rStyle w:val="FootnoteReference"/>
          <w:rFonts w:ascii="Times New Roman" w:hAnsi="Times New Roman" w:cs="Times New Roman"/>
          <w:sz w:val="20"/>
          <w:szCs w:val="20"/>
        </w:rPr>
        <w:footnoteRef/>
      </w:r>
      <w:r w:rsidRPr="00242042">
        <w:rPr>
          <w:rFonts w:ascii="Times New Roman" w:hAnsi="Times New Roman" w:cs="Times New Roman"/>
          <w:sz w:val="20"/>
          <w:szCs w:val="20"/>
        </w:rPr>
        <w:t xml:space="preserve"> Bill C-16, </w:t>
      </w:r>
      <w:r w:rsidRPr="00242042">
        <w:rPr>
          <w:rFonts w:ascii="Times New Roman" w:hAnsi="Times New Roman" w:cs="Times New Roman"/>
          <w:i/>
          <w:sz w:val="20"/>
          <w:szCs w:val="20"/>
        </w:rPr>
        <w:t>supra</w:t>
      </w:r>
      <w:r w:rsidRPr="00242042">
        <w:rPr>
          <w:rFonts w:ascii="Times New Roman" w:hAnsi="Times New Roman" w:cs="Times New Roman"/>
          <w:sz w:val="20"/>
          <w:szCs w:val="20"/>
        </w:rPr>
        <w:t xml:space="preserve"> note </w:t>
      </w:r>
      <w:r w:rsidR="005560C8">
        <w:rPr>
          <w:rFonts w:ascii="Times New Roman" w:hAnsi="Times New Roman" w:cs="Times New Roman"/>
          <w:sz w:val="20"/>
          <w:szCs w:val="20"/>
        </w:rPr>
        <w:t>4</w:t>
      </w:r>
      <w:r w:rsidRPr="00242042">
        <w:rPr>
          <w:rFonts w:ascii="Times New Roman" w:hAnsi="Times New Roman" w:cs="Times New Roman"/>
          <w:sz w:val="20"/>
          <w:szCs w:val="20"/>
        </w:rPr>
        <w:t>. Bill C-16 also amended the Criminal Code of Canada to add provisions dealing with hate propaganda, incitement to genocide and aggravating factors in sentencing.</w:t>
      </w:r>
      <w:r w:rsidR="00733774" w:rsidRPr="00242042">
        <w:rPr>
          <w:rFonts w:ascii="Times New Roman" w:hAnsi="Times New Roman" w:cs="Times New Roman"/>
          <w:sz w:val="20"/>
          <w:szCs w:val="20"/>
        </w:rPr>
        <w:t xml:space="preserve"> The amendments were necessary to provide explicit protection for transgender and gender-diverse people and to </w:t>
      </w:r>
      <w:r w:rsidR="005560C8">
        <w:rPr>
          <w:rFonts w:ascii="Times New Roman" w:hAnsi="Times New Roman" w:cs="Times New Roman"/>
          <w:sz w:val="20"/>
          <w:szCs w:val="20"/>
        </w:rPr>
        <w:t xml:space="preserve">do </w:t>
      </w:r>
      <w:r w:rsidR="00733774" w:rsidRPr="00242042">
        <w:rPr>
          <w:rFonts w:ascii="Times New Roman" w:hAnsi="Times New Roman" w:cs="Times New Roman"/>
          <w:sz w:val="20"/>
          <w:szCs w:val="20"/>
        </w:rPr>
        <w:t>so in clear language that would articulate in federal law that “transgender and other gender-diverse persons have a right to live free from discrimination, hate propaganda, and hate crime</w:t>
      </w:r>
      <w:r w:rsidR="00EC63A6" w:rsidRPr="00242042">
        <w:rPr>
          <w:rFonts w:ascii="Times New Roman" w:hAnsi="Times New Roman" w:cs="Times New Roman"/>
          <w:sz w:val="20"/>
          <w:szCs w:val="20"/>
        </w:rPr>
        <w:t xml:space="preserve">”: </w:t>
      </w:r>
      <w:hyperlink r:id="rId17" w:history="1">
        <w:r w:rsidR="005560C8" w:rsidRPr="00F47E05">
          <w:rPr>
            <w:rStyle w:val="Hyperlink"/>
            <w:rFonts w:ascii="Times New Roman" w:hAnsi="Times New Roman" w:cs="Times New Roman"/>
            <w:sz w:val="20"/>
            <w:szCs w:val="20"/>
          </w:rPr>
          <w:t>https://www.justice.gc.ca/eng/csj-sjc/pl/identity-identite/faq.html</w:t>
        </w:r>
      </w:hyperlink>
      <w:r w:rsidR="00EC63A6" w:rsidRPr="00242042">
        <w:rPr>
          <w:rFonts w:ascii="Times New Roman" w:hAnsi="Times New Roman" w:cs="Times New Roman"/>
          <w:sz w:val="20"/>
          <w:szCs w:val="20"/>
        </w:rPr>
        <w:t xml:space="preserve">. </w:t>
      </w:r>
    </w:p>
  </w:footnote>
  <w:footnote w:id="15">
    <w:p w14:paraId="600EE783" w14:textId="6CEEAF38" w:rsidR="007D6A93" w:rsidRPr="00DF1660" w:rsidRDefault="007D6A93" w:rsidP="00733774">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See for example, William Hébert, “Trans Rights as Risks: On the Ambivalent Implementation of Canada’s </w:t>
      </w:r>
      <w:proofErr w:type="spellStart"/>
      <w:r w:rsidRPr="00DF1660">
        <w:rPr>
          <w:rFonts w:ascii="Times New Roman" w:hAnsi="Times New Roman" w:cs="Times New Roman"/>
        </w:rPr>
        <w:t>Groundbreaking</w:t>
      </w:r>
      <w:proofErr w:type="spellEnd"/>
      <w:r w:rsidRPr="00DF1660">
        <w:rPr>
          <w:rFonts w:ascii="Times New Roman" w:hAnsi="Times New Roman" w:cs="Times New Roman"/>
        </w:rPr>
        <w:t xml:space="preserve"> Trans Prison Reform” (2020) 35(2)</w:t>
      </w:r>
      <w:r w:rsidRPr="00DF1660">
        <w:rPr>
          <w:rFonts w:ascii="Times New Roman" w:hAnsi="Times New Roman" w:cs="Times New Roman"/>
          <w:i/>
        </w:rPr>
        <w:t xml:space="preserve"> Canadian Journal of Law and Society</w:t>
      </w:r>
      <w:r w:rsidR="005560C8">
        <w:rPr>
          <w:rFonts w:ascii="Times New Roman" w:hAnsi="Times New Roman" w:cs="Times New Roman"/>
        </w:rPr>
        <w:t xml:space="preserve"> </w:t>
      </w:r>
      <w:r w:rsidRPr="00DF1660">
        <w:rPr>
          <w:rFonts w:ascii="Times New Roman" w:hAnsi="Times New Roman" w:cs="Times New Roman"/>
        </w:rPr>
        <w:t>221-244 [Hébert].  See also, Sharon Cowan “</w:t>
      </w:r>
      <w:r w:rsidRPr="00DF1660">
        <w:rPr>
          <w:rFonts w:ascii="Times New Roman" w:hAnsi="Times New Roman" w:cs="Times New Roman"/>
          <w:color w:val="333333"/>
          <w:spacing w:val="4"/>
          <w:shd w:val="clear" w:color="auto" w:fill="FCFCFC"/>
        </w:rPr>
        <w:t xml:space="preserve">Sex/Gender Equality: Taking a Break from the Legal to Transform the Social” in D. Cowan and D. </w:t>
      </w:r>
      <w:proofErr w:type="spellStart"/>
      <w:r w:rsidRPr="00DF1660">
        <w:rPr>
          <w:rFonts w:ascii="Times New Roman" w:hAnsi="Times New Roman" w:cs="Times New Roman"/>
          <w:color w:val="333333"/>
          <w:spacing w:val="4"/>
          <w:shd w:val="clear" w:color="auto" w:fill="FCFCFC"/>
        </w:rPr>
        <w:t>Wincott</w:t>
      </w:r>
      <w:proofErr w:type="spellEnd"/>
      <w:r w:rsidRPr="00DF1660">
        <w:rPr>
          <w:rFonts w:ascii="Times New Roman" w:hAnsi="Times New Roman" w:cs="Times New Roman"/>
          <w:color w:val="333333"/>
          <w:spacing w:val="4"/>
          <w:shd w:val="clear" w:color="auto" w:fill="FCFCFC"/>
        </w:rPr>
        <w:t xml:space="preserve"> (</w:t>
      </w:r>
      <w:proofErr w:type="spellStart"/>
      <w:r w:rsidRPr="00DF1660">
        <w:rPr>
          <w:rFonts w:ascii="Times New Roman" w:hAnsi="Times New Roman" w:cs="Times New Roman"/>
          <w:color w:val="333333"/>
          <w:spacing w:val="4"/>
          <w:shd w:val="clear" w:color="auto" w:fill="FCFCFC"/>
        </w:rPr>
        <w:t>eds</w:t>
      </w:r>
      <w:proofErr w:type="spellEnd"/>
      <w:r w:rsidRPr="00DF1660">
        <w:rPr>
          <w:rFonts w:ascii="Times New Roman" w:hAnsi="Times New Roman" w:cs="Times New Roman"/>
          <w:color w:val="333333"/>
          <w:spacing w:val="4"/>
          <w:shd w:val="clear" w:color="auto" w:fill="FCFCFC"/>
        </w:rPr>
        <w:t xml:space="preserve">), </w:t>
      </w:r>
      <w:r w:rsidRPr="00DF1660">
        <w:rPr>
          <w:rFonts w:ascii="Times New Roman" w:hAnsi="Times New Roman" w:cs="Times New Roman"/>
          <w:i/>
          <w:color w:val="333333"/>
          <w:spacing w:val="4"/>
          <w:shd w:val="clear" w:color="auto" w:fill="FCFCFC"/>
        </w:rPr>
        <w:t>Exploring the ‘Legal’ in Socio-Legal Studies</w:t>
      </w:r>
      <w:r w:rsidRPr="00DF1660">
        <w:rPr>
          <w:rFonts w:ascii="Times New Roman" w:hAnsi="Times New Roman" w:cs="Times New Roman"/>
          <w:color w:val="333333"/>
          <w:spacing w:val="4"/>
          <w:shd w:val="clear" w:color="auto" w:fill="FCFCFC"/>
        </w:rPr>
        <w:t xml:space="preserve"> (London: Palgrave Macmillan</w:t>
      </w:r>
      <w:r w:rsidR="005560C8">
        <w:rPr>
          <w:rFonts w:ascii="Times New Roman" w:hAnsi="Times New Roman" w:cs="Times New Roman"/>
          <w:color w:val="333333"/>
          <w:spacing w:val="4"/>
          <w:shd w:val="clear" w:color="auto" w:fill="FCFCFC"/>
        </w:rPr>
        <w:t xml:space="preserve">, 2016) </w:t>
      </w:r>
      <w:r w:rsidRPr="00DF1660">
        <w:rPr>
          <w:rFonts w:ascii="Times New Roman" w:hAnsi="Times New Roman" w:cs="Times New Roman"/>
          <w:color w:val="333333"/>
          <w:spacing w:val="4"/>
          <w:shd w:val="clear" w:color="auto" w:fill="FCFCFC"/>
        </w:rPr>
        <w:t>115-134.</w:t>
      </w:r>
    </w:p>
  </w:footnote>
  <w:footnote w:id="16">
    <w:p w14:paraId="36D4793D" w14:textId="3B379588"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See Samuel Singer and </w:t>
      </w:r>
      <w:proofErr w:type="spellStart"/>
      <w:r w:rsidRPr="00DF1660">
        <w:rPr>
          <w:rFonts w:ascii="Times New Roman" w:hAnsi="Times New Roman" w:cs="Times New Roman"/>
        </w:rPr>
        <w:t>Ido</w:t>
      </w:r>
      <w:proofErr w:type="spellEnd"/>
      <w:r w:rsidRPr="00DF1660">
        <w:rPr>
          <w:rFonts w:ascii="Times New Roman" w:hAnsi="Times New Roman" w:cs="Times New Roman"/>
        </w:rPr>
        <w:t xml:space="preserve"> </w:t>
      </w:r>
      <w:proofErr w:type="spellStart"/>
      <w:r w:rsidRPr="00DF1660">
        <w:rPr>
          <w:rFonts w:ascii="Times New Roman" w:hAnsi="Times New Roman" w:cs="Times New Roman"/>
        </w:rPr>
        <w:t>Katri</w:t>
      </w:r>
      <w:proofErr w:type="spellEnd"/>
      <w:r w:rsidRPr="00DF1660">
        <w:rPr>
          <w:rFonts w:ascii="Times New Roman" w:hAnsi="Times New Roman" w:cs="Times New Roman"/>
        </w:rPr>
        <w:t>, “Foreword” (2020) 35(2)</w:t>
      </w:r>
      <w:r w:rsidRPr="00DF1660">
        <w:rPr>
          <w:rFonts w:ascii="Times New Roman" w:hAnsi="Times New Roman" w:cs="Times New Roman"/>
          <w:i/>
        </w:rPr>
        <w:t xml:space="preserve"> Canadian Journal of Law and Society</w:t>
      </w:r>
      <w:r w:rsidR="005560C8">
        <w:rPr>
          <w:rFonts w:ascii="Times New Roman" w:hAnsi="Times New Roman" w:cs="Times New Roman"/>
        </w:rPr>
        <w:t xml:space="preserve"> </w:t>
      </w:r>
      <w:r w:rsidR="002E3950" w:rsidRPr="00DF1660">
        <w:rPr>
          <w:rFonts w:ascii="Times New Roman" w:hAnsi="Times New Roman" w:cs="Times New Roman"/>
        </w:rPr>
        <w:t>147-151 [Singer and</w:t>
      </w:r>
      <w:r w:rsidRPr="00DF1660">
        <w:rPr>
          <w:rFonts w:ascii="Times New Roman" w:hAnsi="Times New Roman" w:cs="Times New Roman"/>
        </w:rPr>
        <w:t xml:space="preserve"> </w:t>
      </w:r>
      <w:proofErr w:type="spellStart"/>
      <w:r w:rsidRPr="00DF1660">
        <w:rPr>
          <w:rFonts w:ascii="Times New Roman" w:hAnsi="Times New Roman" w:cs="Times New Roman"/>
        </w:rPr>
        <w:t>Katri</w:t>
      </w:r>
      <w:proofErr w:type="spellEnd"/>
      <w:r w:rsidRPr="00DF1660">
        <w:rPr>
          <w:rFonts w:ascii="Times New Roman" w:hAnsi="Times New Roman" w:cs="Times New Roman"/>
        </w:rPr>
        <w:t xml:space="preserve">]. For an argument on how change and progress are not linear for queer </w:t>
      </w:r>
      <w:proofErr w:type="spellStart"/>
      <w:r w:rsidRPr="00DF1660">
        <w:rPr>
          <w:rFonts w:ascii="Times New Roman" w:hAnsi="Times New Roman" w:cs="Times New Roman"/>
        </w:rPr>
        <w:t>folx</w:t>
      </w:r>
      <w:proofErr w:type="spellEnd"/>
      <w:r w:rsidRPr="00DF1660">
        <w:rPr>
          <w:rFonts w:ascii="Times New Roman" w:hAnsi="Times New Roman" w:cs="Times New Roman"/>
        </w:rPr>
        <w:t>, notwithstanding strong policy initiatives</w:t>
      </w:r>
      <w:r w:rsidR="005560C8">
        <w:rPr>
          <w:rFonts w:ascii="Times New Roman" w:hAnsi="Times New Roman" w:cs="Times New Roman"/>
        </w:rPr>
        <w:t>,</w:t>
      </w:r>
      <w:r w:rsidRPr="00DF1660">
        <w:rPr>
          <w:rFonts w:ascii="Times New Roman" w:hAnsi="Times New Roman" w:cs="Times New Roman"/>
        </w:rPr>
        <w:t xml:space="preserve"> see Matson Lawrence and Yvette Taylor, “The UK Government L</w:t>
      </w:r>
      <w:r w:rsidR="005560C8">
        <w:rPr>
          <w:rFonts w:ascii="Times New Roman" w:hAnsi="Times New Roman" w:cs="Times New Roman"/>
        </w:rPr>
        <w:t>GBT Action Plan: Discourses of Progress, Enduring Stasis, and LGBTQI+ L</w:t>
      </w:r>
      <w:r w:rsidRPr="00DF1660">
        <w:rPr>
          <w:rFonts w:ascii="Times New Roman" w:hAnsi="Times New Roman" w:cs="Times New Roman"/>
        </w:rPr>
        <w:t>ives ‘</w:t>
      </w:r>
      <w:r w:rsidR="005560C8">
        <w:rPr>
          <w:rFonts w:ascii="Times New Roman" w:hAnsi="Times New Roman" w:cs="Times New Roman"/>
        </w:rPr>
        <w:t>Getting B</w:t>
      </w:r>
      <w:r w:rsidRPr="00DF1660">
        <w:rPr>
          <w:rFonts w:ascii="Times New Roman" w:hAnsi="Times New Roman" w:cs="Times New Roman"/>
        </w:rPr>
        <w:t xml:space="preserve">etter’” (2020) 40(4) </w:t>
      </w:r>
      <w:r w:rsidRPr="00DF1660">
        <w:rPr>
          <w:rFonts w:ascii="Times New Roman" w:hAnsi="Times New Roman" w:cs="Times New Roman"/>
          <w:i/>
        </w:rPr>
        <w:t>Critical Social Policy</w:t>
      </w:r>
      <w:r w:rsidRPr="00DF1660">
        <w:rPr>
          <w:rFonts w:ascii="Times New Roman" w:hAnsi="Times New Roman" w:cs="Times New Roman"/>
        </w:rPr>
        <w:t xml:space="preserve"> 586-607 at 589.  Thank you to Sharon Cowan for this reference.  See also Spade, </w:t>
      </w:r>
      <w:r w:rsidRPr="00DF1660">
        <w:rPr>
          <w:rFonts w:ascii="Times New Roman" w:hAnsi="Times New Roman" w:cs="Times New Roman"/>
          <w:i/>
        </w:rPr>
        <w:t xml:space="preserve">supra </w:t>
      </w:r>
      <w:r w:rsidRPr="00DF1660">
        <w:rPr>
          <w:rFonts w:ascii="Times New Roman" w:hAnsi="Times New Roman" w:cs="Times New Roman"/>
        </w:rPr>
        <w:t xml:space="preserve">note </w:t>
      </w:r>
      <w:r w:rsidR="005560C8">
        <w:rPr>
          <w:rFonts w:ascii="Times New Roman" w:hAnsi="Times New Roman" w:cs="Times New Roman"/>
        </w:rPr>
        <w:t>2</w:t>
      </w:r>
      <w:r w:rsidRPr="00DF1660">
        <w:rPr>
          <w:rFonts w:ascii="Times New Roman" w:hAnsi="Times New Roman" w:cs="Times New Roman"/>
        </w:rPr>
        <w:t>.</w:t>
      </w:r>
    </w:p>
  </w:footnote>
  <w:footnote w:id="17">
    <w:p w14:paraId="64C82EC3" w14:textId="19641304"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Becki Ross, “Obituary for Jamie Lee Hamilton” (2020) 35(2)</w:t>
      </w:r>
      <w:r w:rsidRPr="00DF1660">
        <w:rPr>
          <w:rFonts w:ascii="Times New Roman" w:hAnsi="Times New Roman" w:cs="Times New Roman"/>
          <w:i/>
        </w:rPr>
        <w:t xml:space="preserve"> Canadian Journal of Law and Society</w:t>
      </w:r>
      <w:r w:rsidR="005560C8">
        <w:rPr>
          <w:rFonts w:ascii="Times New Roman" w:hAnsi="Times New Roman" w:cs="Times New Roman"/>
        </w:rPr>
        <w:t xml:space="preserve">, </w:t>
      </w:r>
      <w:r w:rsidRPr="00DF1660">
        <w:rPr>
          <w:rFonts w:ascii="Times New Roman" w:hAnsi="Times New Roman" w:cs="Times New Roman"/>
        </w:rPr>
        <w:t xml:space="preserve">157 [Ross]. </w:t>
      </w:r>
    </w:p>
  </w:footnote>
  <w:footnote w:id="18">
    <w:p w14:paraId="635401CC" w14:textId="2B6A1514"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Viviane Namaste </w:t>
      </w:r>
      <w:r w:rsidR="007E245A" w:rsidRPr="00DF1660">
        <w:rPr>
          <w:rFonts w:ascii="Times New Roman" w:hAnsi="Times New Roman" w:cs="Times New Roman"/>
        </w:rPr>
        <w:t>and</w:t>
      </w:r>
      <w:r w:rsidRPr="00DF1660">
        <w:rPr>
          <w:rFonts w:ascii="Times New Roman" w:hAnsi="Times New Roman" w:cs="Times New Roman"/>
        </w:rPr>
        <w:t xml:space="preserve"> Dalia </w:t>
      </w:r>
      <w:proofErr w:type="spellStart"/>
      <w:r w:rsidRPr="00DF1660">
        <w:rPr>
          <w:rFonts w:ascii="Times New Roman" w:hAnsi="Times New Roman" w:cs="Times New Roman"/>
        </w:rPr>
        <w:t>Tourki</w:t>
      </w:r>
      <w:proofErr w:type="spellEnd"/>
      <w:r w:rsidRPr="00DF1660">
        <w:rPr>
          <w:rFonts w:ascii="Times New Roman" w:hAnsi="Times New Roman" w:cs="Times New Roman"/>
        </w:rPr>
        <w:t xml:space="preserve">, “Trans Justice and the Law: From Then to Now, From There to Here: A Conversation between Dr. Viviane Namaste and Dalia </w:t>
      </w:r>
      <w:proofErr w:type="spellStart"/>
      <w:r w:rsidRPr="00DF1660">
        <w:rPr>
          <w:rFonts w:ascii="Times New Roman" w:hAnsi="Times New Roman" w:cs="Times New Roman"/>
        </w:rPr>
        <w:t>Tourki</w:t>
      </w:r>
      <w:proofErr w:type="spellEnd"/>
      <w:r w:rsidRPr="00DF1660">
        <w:rPr>
          <w:rFonts w:ascii="Times New Roman" w:hAnsi="Times New Roman" w:cs="Times New Roman"/>
        </w:rPr>
        <w:t>” (2020) 35(2)</w:t>
      </w:r>
      <w:r w:rsidRPr="00DF1660">
        <w:rPr>
          <w:rFonts w:ascii="Times New Roman" w:hAnsi="Times New Roman" w:cs="Times New Roman"/>
          <w:i/>
        </w:rPr>
        <w:t xml:space="preserve"> Canadian Journal of Law and Society</w:t>
      </w:r>
      <w:r w:rsidR="005560C8">
        <w:rPr>
          <w:rFonts w:ascii="Times New Roman" w:hAnsi="Times New Roman" w:cs="Times New Roman"/>
        </w:rPr>
        <w:t xml:space="preserve"> </w:t>
      </w:r>
      <w:r w:rsidRPr="00DF1660">
        <w:rPr>
          <w:rFonts w:ascii="Times New Roman" w:hAnsi="Times New Roman" w:cs="Times New Roman"/>
        </w:rPr>
        <w:t>159-196</w:t>
      </w:r>
      <w:r w:rsidR="002E3950" w:rsidRPr="00DF1660">
        <w:rPr>
          <w:rFonts w:ascii="Times New Roman" w:hAnsi="Times New Roman" w:cs="Times New Roman"/>
        </w:rPr>
        <w:t xml:space="preserve"> [Namaste and</w:t>
      </w:r>
      <w:r w:rsidRPr="00DF1660">
        <w:rPr>
          <w:rFonts w:ascii="Times New Roman" w:hAnsi="Times New Roman" w:cs="Times New Roman"/>
        </w:rPr>
        <w:t xml:space="preserve"> </w:t>
      </w:r>
      <w:proofErr w:type="spellStart"/>
      <w:r w:rsidRPr="00DF1660">
        <w:rPr>
          <w:rFonts w:ascii="Times New Roman" w:hAnsi="Times New Roman" w:cs="Times New Roman"/>
        </w:rPr>
        <w:t>Tourki</w:t>
      </w:r>
      <w:proofErr w:type="spellEnd"/>
      <w:r w:rsidRPr="00DF1660">
        <w:rPr>
          <w:rFonts w:ascii="Times New Roman" w:hAnsi="Times New Roman" w:cs="Times New Roman"/>
        </w:rPr>
        <w:t xml:space="preserve">]. </w:t>
      </w:r>
    </w:p>
  </w:footnote>
  <w:footnote w:id="19">
    <w:p w14:paraId="28D5CEA5" w14:textId="6D15167F"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Dan Irving </w:t>
      </w:r>
      <w:r w:rsidR="007E245A" w:rsidRPr="00DF1660">
        <w:rPr>
          <w:rFonts w:ascii="Times New Roman" w:hAnsi="Times New Roman" w:cs="Times New Roman"/>
        </w:rPr>
        <w:t>and</w:t>
      </w:r>
      <w:r w:rsidRPr="00DF1660">
        <w:rPr>
          <w:rFonts w:ascii="Times New Roman" w:hAnsi="Times New Roman" w:cs="Times New Roman"/>
        </w:rPr>
        <w:t xml:space="preserve"> Nathan </w:t>
      </w:r>
      <w:proofErr w:type="spellStart"/>
      <w:r w:rsidRPr="00DF1660">
        <w:rPr>
          <w:rFonts w:ascii="Times New Roman" w:hAnsi="Times New Roman" w:cs="Times New Roman"/>
        </w:rPr>
        <w:t>Hoo</w:t>
      </w:r>
      <w:proofErr w:type="spellEnd"/>
      <w:r w:rsidRPr="00DF1660">
        <w:rPr>
          <w:rFonts w:ascii="Times New Roman" w:hAnsi="Times New Roman" w:cs="Times New Roman"/>
        </w:rPr>
        <w:t>, “Doing Trans-Economic Justice: A Critique of Anti-Discrimination Laws and Inclusive Employment Policies” (2020) 35(2)</w:t>
      </w:r>
      <w:r w:rsidRPr="00DF1660">
        <w:rPr>
          <w:rFonts w:ascii="Times New Roman" w:hAnsi="Times New Roman" w:cs="Times New Roman"/>
          <w:i/>
        </w:rPr>
        <w:t xml:space="preserve"> Canadian Journal of Law and Society</w:t>
      </w:r>
      <w:r w:rsidR="005560C8">
        <w:rPr>
          <w:rFonts w:ascii="Times New Roman" w:hAnsi="Times New Roman" w:cs="Times New Roman"/>
        </w:rPr>
        <w:t xml:space="preserve"> </w:t>
      </w:r>
      <w:r w:rsidRPr="00DF1660">
        <w:rPr>
          <w:rFonts w:ascii="Times New Roman" w:hAnsi="Times New Roman" w:cs="Times New Roman"/>
        </w:rPr>
        <w:t>197-220</w:t>
      </w:r>
      <w:r w:rsidR="002E3950" w:rsidRPr="00DF1660">
        <w:rPr>
          <w:rFonts w:ascii="Times New Roman" w:hAnsi="Times New Roman" w:cs="Times New Roman"/>
        </w:rPr>
        <w:t xml:space="preserve"> [Irving and</w:t>
      </w:r>
      <w:r w:rsidRPr="00DF1660">
        <w:rPr>
          <w:rFonts w:ascii="Times New Roman" w:hAnsi="Times New Roman" w:cs="Times New Roman"/>
        </w:rPr>
        <w:t xml:space="preserve"> </w:t>
      </w:r>
      <w:proofErr w:type="spellStart"/>
      <w:r w:rsidRPr="00DF1660">
        <w:rPr>
          <w:rFonts w:ascii="Times New Roman" w:hAnsi="Times New Roman" w:cs="Times New Roman"/>
        </w:rPr>
        <w:t>Hoo</w:t>
      </w:r>
      <w:proofErr w:type="spellEnd"/>
      <w:r w:rsidRPr="00DF1660">
        <w:rPr>
          <w:rFonts w:ascii="Times New Roman" w:hAnsi="Times New Roman" w:cs="Times New Roman"/>
        </w:rPr>
        <w:t xml:space="preserve">]. </w:t>
      </w:r>
    </w:p>
  </w:footnote>
  <w:footnote w:id="20">
    <w:p w14:paraId="2D655A1F" w14:textId="12D65772"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Hébert, </w:t>
      </w:r>
      <w:r w:rsidRPr="00DF1660">
        <w:rPr>
          <w:rFonts w:ascii="Times New Roman" w:hAnsi="Times New Roman" w:cs="Times New Roman"/>
          <w:i/>
        </w:rPr>
        <w:t xml:space="preserve">supra </w:t>
      </w:r>
      <w:r w:rsidRPr="00DF1660">
        <w:rPr>
          <w:rFonts w:ascii="Times New Roman" w:hAnsi="Times New Roman" w:cs="Times New Roman"/>
        </w:rPr>
        <w:t xml:space="preserve">note </w:t>
      </w:r>
      <w:r w:rsidR="001C1FBF">
        <w:rPr>
          <w:rFonts w:ascii="Times New Roman" w:hAnsi="Times New Roman" w:cs="Times New Roman"/>
        </w:rPr>
        <w:t>14</w:t>
      </w:r>
      <w:r w:rsidRPr="00DF1660">
        <w:rPr>
          <w:rFonts w:ascii="Times New Roman" w:hAnsi="Times New Roman" w:cs="Times New Roman"/>
        </w:rPr>
        <w:t xml:space="preserve">. </w:t>
      </w:r>
    </w:p>
  </w:footnote>
  <w:footnote w:id="21">
    <w:p w14:paraId="243F2A5C" w14:textId="76E4A5AB"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Kyle </w:t>
      </w:r>
      <w:proofErr w:type="spellStart"/>
      <w:r w:rsidRPr="00DF1660">
        <w:rPr>
          <w:rFonts w:ascii="Times New Roman" w:hAnsi="Times New Roman" w:cs="Times New Roman"/>
        </w:rPr>
        <w:t>Kirkup</w:t>
      </w:r>
      <w:proofErr w:type="spellEnd"/>
      <w:r w:rsidRPr="00DF1660">
        <w:rPr>
          <w:rFonts w:ascii="Times New Roman" w:hAnsi="Times New Roman" w:cs="Times New Roman"/>
        </w:rPr>
        <w:t xml:space="preserve">, Lee </w:t>
      </w:r>
      <w:proofErr w:type="spellStart"/>
      <w:r w:rsidRPr="00DF1660">
        <w:rPr>
          <w:rFonts w:ascii="Times New Roman" w:hAnsi="Times New Roman" w:cs="Times New Roman"/>
        </w:rPr>
        <w:t>Airton</w:t>
      </w:r>
      <w:proofErr w:type="spellEnd"/>
      <w:r w:rsidRPr="00DF1660">
        <w:rPr>
          <w:rFonts w:ascii="Times New Roman" w:hAnsi="Times New Roman" w:cs="Times New Roman"/>
        </w:rPr>
        <w:t xml:space="preserve">, Allison McMillan and Jacob </w:t>
      </w:r>
      <w:proofErr w:type="spellStart"/>
      <w:r w:rsidRPr="00DF1660">
        <w:rPr>
          <w:rFonts w:ascii="Times New Roman" w:hAnsi="Times New Roman" w:cs="Times New Roman"/>
        </w:rPr>
        <w:t>DesRochers</w:t>
      </w:r>
      <w:proofErr w:type="spellEnd"/>
      <w:r w:rsidRPr="00DF1660">
        <w:rPr>
          <w:rFonts w:ascii="Times New Roman" w:hAnsi="Times New Roman" w:cs="Times New Roman"/>
        </w:rPr>
        <w:t>, “The Aftermath of Human Rights Protections: Gender Identity, Gender Expression, and the Socio-Legal Regulation of School Boards” (2020) 35(2)</w:t>
      </w:r>
      <w:r w:rsidRPr="00DF1660">
        <w:rPr>
          <w:rFonts w:ascii="Times New Roman" w:hAnsi="Times New Roman" w:cs="Times New Roman"/>
          <w:i/>
        </w:rPr>
        <w:t xml:space="preserve"> Canadian Journal of Law and Society</w:t>
      </w:r>
      <w:r w:rsidR="001C1FBF">
        <w:rPr>
          <w:rFonts w:ascii="Times New Roman" w:hAnsi="Times New Roman" w:cs="Times New Roman"/>
        </w:rPr>
        <w:t xml:space="preserve"> </w:t>
      </w:r>
      <w:r w:rsidRPr="00DF1660">
        <w:rPr>
          <w:rFonts w:ascii="Times New Roman" w:hAnsi="Times New Roman" w:cs="Times New Roman"/>
        </w:rPr>
        <w:t>245-268 [</w:t>
      </w:r>
      <w:proofErr w:type="spellStart"/>
      <w:r w:rsidRPr="00DF1660">
        <w:rPr>
          <w:rFonts w:ascii="Times New Roman" w:hAnsi="Times New Roman" w:cs="Times New Roman"/>
        </w:rPr>
        <w:t>Kirkup</w:t>
      </w:r>
      <w:proofErr w:type="spellEnd"/>
      <w:r w:rsidRPr="00DF1660">
        <w:rPr>
          <w:rFonts w:ascii="Times New Roman" w:hAnsi="Times New Roman" w:cs="Times New Roman"/>
        </w:rPr>
        <w:t xml:space="preserve"> et al]. </w:t>
      </w:r>
    </w:p>
  </w:footnote>
  <w:footnote w:id="22">
    <w:p w14:paraId="2648CFC2" w14:textId="5C32F38F"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Leon Laidlaw, “Trans University Students’ Access to Facilities: The Limits of Accommodation” (2020) 35(2)</w:t>
      </w:r>
      <w:r w:rsidRPr="00DF1660">
        <w:rPr>
          <w:rFonts w:ascii="Times New Roman" w:hAnsi="Times New Roman" w:cs="Times New Roman"/>
          <w:i/>
        </w:rPr>
        <w:t xml:space="preserve"> Canadian Journal of Law and Society</w:t>
      </w:r>
      <w:r w:rsidRPr="00DF1660">
        <w:rPr>
          <w:rFonts w:ascii="Times New Roman" w:hAnsi="Times New Roman" w:cs="Times New Roman"/>
        </w:rPr>
        <w:t xml:space="preserve"> 269-291 [Laidlaw]. </w:t>
      </w:r>
    </w:p>
  </w:footnote>
  <w:footnote w:id="23">
    <w:p w14:paraId="52571221" w14:textId="0A5D4DAB"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Samuel Singer, “Trans Rights Are Not Just Human Rights: Legal Strategies for Trans Justice” (2020) 35(2)</w:t>
      </w:r>
      <w:r w:rsidRPr="00DF1660">
        <w:rPr>
          <w:rFonts w:ascii="Times New Roman" w:hAnsi="Times New Roman" w:cs="Times New Roman"/>
          <w:i/>
        </w:rPr>
        <w:t xml:space="preserve"> Canadian Journal of Law and Society</w:t>
      </w:r>
      <w:r w:rsidR="001C1FBF">
        <w:rPr>
          <w:rFonts w:ascii="Times New Roman" w:hAnsi="Times New Roman" w:cs="Times New Roman"/>
        </w:rPr>
        <w:t xml:space="preserve"> </w:t>
      </w:r>
      <w:r w:rsidRPr="00DF1660">
        <w:rPr>
          <w:rFonts w:ascii="Times New Roman" w:hAnsi="Times New Roman" w:cs="Times New Roman"/>
        </w:rPr>
        <w:t xml:space="preserve">293-315 [Singer]. </w:t>
      </w:r>
    </w:p>
  </w:footnote>
  <w:footnote w:id="24">
    <w:p w14:paraId="715F4EDB" w14:textId="390CEB44" w:rsidR="007D6A93" w:rsidRPr="00DF1660" w:rsidRDefault="007D6A93">
      <w:pPr>
        <w:pStyle w:val="FootnoteText"/>
        <w:rPr>
          <w:rFonts w:ascii="Times New Roman" w:hAnsi="Times New Roman" w:cs="Times New Roman"/>
          <w:i/>
          <w:iCs/>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 xml:space="preserve">Ibid. </w:t>
      </w:r>
    </w:p>
  </w:footnote>
  <w:footnote w:id="25">
    <w:p w14:paraId="706123B6" w14:textId="3FAA5D7B"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Ibid.</w:t>
      </w:r>
    </w:p>
  </w:footnote>
  <w:footnote w:id="26">
    <w:p w14:paraId="5AED6D57" w14:textId="34359783"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001C1FBF">
        <w:rPr>
          <w:rFonts w:ascii="Times New Roman" w:hAnsi="Times New Roman" w:cs="Times New Roman"/>
        </w:rPr>
        <w:t xml:space="preserve"> Jake </w:t>
      </w:r>
      <w:proofErr w:type="spellStart"/>
      <w:r w:rsidR="001C1FBF">
        <w:rPr>
          <w:rFonts w:ascii="Times New Roman" w:hAnsi="Times New Roman" w:cs="Times New Roman"/>
        </w:rPr>
        <w:t>Pyne</w:t>
      </w:r>
      <w:proofErr w:type="spellEnd"/>
      <w:r w:rsidR="001C1FBF">
        <w:rPr>
          <w:rFonts w:ascii="Times New Roman" w:hAnsi="Times New Roman" w:cs="Times New Roman"/>
        </w:rPr>
        <w:t>, “‘</w:t>
      </w:r>
      <w:r w:rsidRPr="00DF1660">
        <w:rPr>
          <w:rFonts w:ascii="Times New Roman" w:hAnsi="Times New Roman" w:cs="Times New Roman"/>
        </w:rPr>
        <w:t>Building a Person’: Legal and Clinical Personhood for Autistic and Trans Children in Ontario” (2020) 35(2)</w:t>
      </w:r>
      <w:r w:rsidRPr="00DF1660">
        <w:rPr>
          <w:rFonts w:ascii="Times New Roman" w:hAnsi="Times New Roman" w:cs="Times New Roman"/>
          <w:i/>
        </w:rPr>
        <w:t xml:space="preserve"> Canadian Journal of Law and Society</w:t>
      </w:r>
      <w:r w:rsidR="001C1FBF">
        <w:rPr>
          <w:rFonts w:ascii="Times New Roman" w:hAnsi="Times New Roman" w:cs="Times New Roman"/>
        </w:rPr>
        <w:t xml:space="preserve"> </w:t>
      </w:r>
      <w:r w:rsidRPr="00DF1660">
        <w:rPr>
          <w:rFonts w:ascii="Times New Roman" w:hAnsi="Times New Roman" w:cs="Times New Roman"/>
        </w:rPr>
        <w:t>341-365 [</w:t>
      </w:r>
      <w:proofErr w:type="spellStart"/>
      <w:r w:rsidRPr="00DF1660">
        <w:rPr>
          <w:rFonts w:ascii="Times New Roman" w:hAnsi="Times New Roman" w:cs="Times New Roman"/>
        </w:rPr>
        <w:t>Pyne</w:t>
      </w:r>
      <w:proofErr w:type="spellEnd"/>
      <w:r w:rsidRPr="00DF1660">
        <w:rPr>
          <w:rFonts w:ascii="Times New Roman" w:hAnsi="Times New Roman" w:cs="Times New Roman"/>
        </w:rPr>
        <w:t xml:space="preserve">]. </w:t>
      </w:r>
    </w:p>
  </w:footnote>
  <w:footnote w:id="27">
    <w:p w14:paraId="031D45D5" w14:textId="352BDF19"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Alexandre </w:t>
      </w:r>
      <w:proofErr w:type="spellStart"/>
      <w:r w:rsidRPr="00DF1660">
        <w:rPr>
          <w:rFonts w:ascii="Times New Roman" w:hAnsi="Times New Roman" w:cs="Times New Roman"/>
        </w:rPr>
        <w:t>Baril</w:t>
      </w:r>
      <w:proofErr w:type="spellEnd"/>
      <w:r w:rsidRPr="00DF1660">
        <w:rPr>
          <w:rFonts w:ascii="Times New Roman" w:hAnsi="Times New Roman" w:cs="Times New Roman"/>
        </w:rPr>
        <w:t>, Marjorie Silverman, Marie-Claire Gauthier, and Maude Lévesque, “Forgotten Wishes: End-of-Life Documents for Trans People with Dementia at the Margins of Legal Change” (2020) 35(2)</w:t>
      </w:r>
      <w:r w:rsidRPr="00DF1660">
        <w:rPr>
          <w:rFonts w:ascii="Times New Roman" w:hAnsi="Times New Roman" w:cs="Times New Roman"/>
          <w:i/>
        </w:rPr>
        <w:t xml:space="preserve"> Canadian Journal of Law and Society</w:t>
      </w:r>
      <w:r w:rsidR="001C1FBF">
        <w:rPr>
          <w:rFonts w:ascii="Times New Roman" w:hAnsi="Times New Roman" w:cs="Times New Roman"/>
        </w:rPr>
        <w:t xml:space="preserve"> </w:t>
      </w:r>
      <w:r w:rsidRPr="00DF1660">
        <w:rPr>
          <w:rFonts w:ascii="Times New Roman" w:hAnsi="Times New Roman" w:cs="Times New Roman"/>
        </w:rPr>
        <w:t>367-390 [</w:t>
      </w:r>
      <w:proofErr w:type="spellStart"/>
      <w:r w:rsidRPr="00DF1660">
        <w:rPr>
          <w:rFonts w:ascii="Times New Roman" w:hAnsi="Times New Roman" w:cs="Times New Roman"/>
        </w:rPr>
        <w:t>Baril</w:t>
      </w:r>
      <w:proofErr w:type="spellEnd"/>
      <w:r w:rsidRPr="00DF1660">
        <w:rPr>
          <w:rFonts w:ascii="Times New Roman" w:hAnsi="Times New Roman" w:cs="Times New Roman"/>
        </w:rPr>
        <w:t xml:space="preserve"> et al].</w:t>
      </w:r>
    </w:p>
  </w:footnote>
  <w:footnote w:id="28">
    <w:p w14:paraId="150CB939" w14:textId="221BC897" w:rsidR="007D6A93" w:rsidRPr="00DF1660" w:rsidRDefault="007D6A93">
      <w:pPr>
        <w:pStyle w:val="FootnoteText"/>
        <w:rPr>
          <w:rFonts w:ascii="Times New Roman" w:hAnsi="Times New Roman" w:cs="Times New Roman"/>
          <w:b/>
          <w:bCs/>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Singer and </w:t>
      </w:r>
      <w:proofErr w:type="spellStart"/>
      <w:r w:rsidRPr="00DF1660">
        <w:rPr>
          <w:rFonts w:ascii="Times New Roman" w:hAnsi="Times New Roman" w:cs="Times New Roman"/>
        </w:rPr>
        <w:t>Katri</w:t>
      </w:r>
      <w:proofErr w:type="spellEnd"/>
      <w:r w:rsidRPr="00DF1660">
        <w:rPr>
          <w:rFonts w:ascii="Times New Roman" w:hAnsi="Times New Roman" w:cs="Times New Roman"/>
        </w:rPr>
        <w:t xml:space="preserve">, </w:t>
      </w:r>
      <w:r w:rsidRPr="00DF1660">
        <w:rPr>
          <w:rFonts w:ascii="Times New Roman" w:hAnsi="Times New Roman" w:cs="Times New Roman"/>
          <w:i/>
        </w:rPr>
        <w:t>supra</w:t>
      </w:r>
      <w:r w:rsidRPr="00DF1660">
        <w:rPr>
          <w:rFonts w:ascii="Times New Roman" w:hAnsi="Times New Roman" w:cs="Times New Roman"/>
        </w:rPr>
        <w:t xml:space="preserve"> note </w:t>
      </w:r>
      <w:r w:rsidR="001C1FBF">
        <w:rPr>
          <w:rFonts w:ascii="Times New Roman" w:hAnsi="Times New Roman" w:cs="Times New Roman"/>
        </w:rPr>
        <w:t>15</w:t>
      </w:r>
      <w:r w:rsidRPr="00DF1660">
        <w:rPr>
          <w:rFonts w:ascii="Times New Roman" w:hAnsi="Times New Roman" w:cs="Times New Roman"/>
        </w:rPr>
        <w:t xml:space="preserve">; Brenda </w:t>
      </w:r>
      <w:proofErr w:type="spellStart"/>
      <w:r w:rsidRPr="00DF1660">
        <w:rPr>
          <w:rFonts w:ascii="Times New Roman" w:hAnsi="Times New Roman" w:cs="Times New Roman"/>
        </w:rPr>
        <w:t>Cossman</w:t>
      </w:r>
      <w:proofErr w:type="spellEnd"/>
      <w:r w:rsidRPr="00DF1660">
        <w:rPr>
          <w:rFonts w:ascii="Times New Roman" w:hAnsi="Times New Roman" w:cs="Times New Roman"/>
        </w:rPr>
        <w:t xml:space="preserve"> and Robert </w:t>
      </w:r>
      <w:proofErr w:type="spellStart"/>
      <w:r w:rsidRPr="00DF1660">
        <w:rPr>
          <w:rFonts w:ascii="Times New Roman" w:hAnsi="Times New Roman" w:cs="Times New Roman"/>
        </w:rPr>
        <w:t>Leckey</w:t>
      </w:r>
      <w:proofErr w:type="spellEnd"/>
      <w:r w:rsidRPr="00DF1660">
        <w:rPr>
          <w:rFonts w:ascii="Times New Roman" w:hAnsi="Times New Roman" w:cs="Times New Roman"/>
        </w:rPr>
        <w:t>, “Introduction” (2020) 35(2)</w:t>
      </w:r>
      <w:r w:rsidRPr="00DF1660">
        <w:rPr>
          <w:rFonts w:ascii="Times New Roman" w:hAnsi="Times New Roman" w:cs="Times New Roman"/>
          <w:i/>
        </w:rPr>
        <w:t xml:space="preserve"> Canadian Journal of Law and Society</w:t>
      </w:r>
      <w:r w:rsidR="001C1FBF">
        <w:rPr>
          <w:rFonts w:ascii="Times New Roman" w:hAnsi="Times New Roman" w:cs="Times New Roman"/>
        </w:rPr>
        <w:t xml:space="preserve"> </w:t>
      </w:r>
      <w:r w:rsidRPr="00DF1660">
        <w:rPr>
          <w:rFonts w:ascii="Times New Roman" w:hAnsi="Times New Roman" w:cs="Times New Roman"/>
        </w:rPr>
        <w:t>153-156 [</w:t>
      </w:r>
      <w:proofErr w:type="spellStart"/>
      <w:r w:rsidRPr="00DF1660">
        <w:rPr>
          <w:rFonts w:ascii="Times New Roman" w:hAnsi="Times New Roman" w:cs="Times New Roman"/>
        </w:rPr>
        <w:t>Cossman</w:t>
      </w:r>
      <w:proofErr w:type="spellEnd"/>
      <w:r w:rsidRPr="00DF1660">
        <w:rPr>
          <w:rFonts w:ascii="Times New Roman" w:hAnsi="Times New Roman" w:cs="Times New Roman"/>
        </w:rPr>
        <w:t xml:space="preserve"> and </w:t>
      </w:r>
      <w:proofErr w:type="spellStart"/>
      <w:r w:rsidRPr="00DF1660">
        <w:rPr>
          <w:rFonts w:ascii="Times New Roman" w:hAnsi="Times New Roman" w:cs="Times New Roman"/>
        </w:rPr>
        <w:t>Leckey</w:t>
      </w:r>
      <w:proofErr w:type="spellEnd"/>
      <w:r w:rsidRPr="00DF1660">
        <w:rPr>
          <w:rFonts w:ascii="Times New Roman" w:hAnsi="Times New Roman" w:cs="Times New Roman"/>
        </w:rPr>
        <w:t>].</w:t>
      </w:r>
    </w:p>
  </w:footnote>
  <w:footnote w:id="29">
    <w:p w14:paraId="242A8612" w14:textId="67D872B3"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Ashley, </w:t>
      </w:r>
      <w:r w:rsidRPr="00DF1660">
        <w:rPr>
          <w:rFonts w:ascii="Times New Roman" w:hAnsi="Times New Roman" w:cs="Times New Roman"/>
          <w:i/>
          <w:iCs/>
        </w:rPr>
        <w:t xml:space="preserve">supra </w:t>
      </w:r>
      <w:r w:rsidR="002E3950" w:rsidRPr="00DF1660">
        <w:rPr>
          <w:rFonts w:ascii="Times New Roman" w:hAnsi="Times New Roman" w:cs="Times New Roman"/>
        </w:rPr>
        <w:t xml:space="preserve">note </w:t>
      </w:r>
      <w:r w:rsidR="001C1FBF">
        <w:rPr>
          <w:rFonts w:ascii="Times New Roman" w:hAnsi="Times New Roman" w:cs="Times New Roman"/>
        </w:rPr>
        <w:t>1</w:t>
      </w:r>
      <w:r w:rsidR="002E3950" w:rsidRPr="00DF1660">
        <w:rPr>
          <w:rFonts w:ascii="Times New Roman" w:hAnsi="Times New Roman" w:cs="Times New Roman"/>
        </w:rPr>
        <w:t>.</w:t>
      </w:r>
    </w:p>
  </w:footnote>
  <w:footnote w:id="30">
    <w:p w14:paraId="0E661A2A" w14:textId="1F01A0EB"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Singer and </w:t>
      </w:r>
      <w:proofErr w:type="spellStart"/>
      <w:r w:rsidRPr="00DF1660">
        <w:rPr>
          <w:rFonts w:ascii="Times New Roman" w:hAnsi="Times New Roman" w:cs="Times New Roman"/>
        </w:rPr>
        <w:t>Katri</w:t>
      </w:r>
      <w:proofErr w:type="spellEnd"/>
      <w:r w:rsidR="002E3950" w:rsidRPr="00DF1660">
        <w:rPr>
          <w:rFonts w:ascii="Times New Roman" w:hAnsi="Times New Roman" w:cs="Times New Roman"/>
        </w:rPr>
        <w:t xml:space="preserve">, </w:t>
      </w:r>
      <w:r w:rsidR="002E3950" w:rsidRPr="00DF1660">
        <w:rPr>
          <w:rFonts w:ascii="Times New Roman" w:hAnsi="Times New Roman" w:cs="Times New Roman"/>
          <w:i/>
        </w:rPr>
        <w:t>supra</w:t>
      </w:r>
      <w:r w:rsidR="002E3950" w:rsidRPr="00DF1660">
        <w:rPr>
          <w:rFonts w:ascii="Times New Roman" w:hAnsi="Times New Roman" w:cs="Times New Roman"/>
        </w:rPr>
        <w:t xml:space="preserve"> note </w:t>
      </w:r>
      <w:r w:rsidR="001C1FBF">
        <w:rPr>
          <w:rFonts w:ascii="Times New Roman" w:hAnsi="Times New Roman" w:cs="Times New Roman"/>
        </w:rPr>
        <w:t>15</w:t>
      </w:r>
      <w:r w:rsidRPr="00DF1660">
        <w:rPr>
          <w:rFonts w:ascii="Times New Roman" w:hAnsi="Times New Roman" w:cs="Times New Roman"/>
        </w:rPr>
        <w:t xml:space="preserve"> at 151.</w:t>
      </w:r>
    </w:p>
  </w:footnote>
  <w:footnote w:id="31">
    <w:p w14:paraId="18BDD0AE" w14:textId="480383B1"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proofErr w:type="spellStart"/>
      <w:r w:rsidRPr="00DF1660">
        <w:rPr>
          <w:rFonts w:ascii="Times New Roman" w:hAnsi="Times New Roman" w:cs="Times New Roman"/>
        </w:rPr>
        <w:t>Cossman</w:t>
      </w:r>
      <w:proofErr w:type="spellEnd"/>
      <w:r w:rsidRPr="00DF1660">
        <w:rPr>
          <w:rFonts w:ascii="Times New Roman" w:hAnsi="Times New Roman" w:cs="Times New Roman"/>
        </w:rPr>
        <w:t xml:space="preserve"> and </w:t>
      </w:r>
      <w:proofErr w:type="spellStart"/>
      <w:r w:rsidRPr="00DF1660">
        <w:rPr>
          <w:rFonts w:ascii="Times New Roman" w:hAnsi="Times New Roman" w:cs="Times New Roman"/>
        </w:rPr>
        <w:t>Leckey</w:t>
      </w:r>
      <w:proofErr w:type="spellEnd"/>
      <w:r w:rsidR="002E3950" w:rsidRPr="00DF1660">
        <w:rPr>
          <w:rFonts w:ascii="Times New Roman" w:hAnsi="Times New Roman" w:cs="Times New Roman"/>
        </w:rPr>
        <w:t xml:space="preserve">, </w:t>
      </w:r>
      <w:r w:rsidR="002E3950" w:rsidRPr="00DF1660">
        <w:rPr>
          <w:rFonts w:ascii="Times New Roman" w:hAnsi="Times New Roman" w:cs="Times New Roman"/>
          <w:i/>
        </w:rPr>
        <w:t xml:space="preserve">supra </w:t>
      </w:r>
      <w:r w:rsidR="002E3950" w:rsidRPr="00DF1660">
        <w:rPr>
          <w:rFonts w:ascii="Times New Roman" w:hAnsi="Times New Roman" w:cs="Times New Roman"/>
        </w:rPr>
        <w:t xml:space="preserve">note </w:t>
      </w:r>
      <w:r w:rsidR="001C1FBF">
        <w:rPr>
          <w:rFonts w:ascii="Times New Roman" w:hAnsi="Times New Roman" w:cs="Times New Roman"/>
        </w:rPr>
        <w:t>27</w:t>
      </w:r>
      <w:r w:rsidRPr="00DF1660">
        <w:rPr>
          <w:rFonts w:ascii="Times New Roman" w:hAnsi="Times New Roman" w:cs="Times New Roman"/>
        </w:rPr>
        <w:t xml:space="preserve"> </w:t>
      </w:r>
      <w:r w:rsidR="002E3950" w:rsidRPr="00DF1660">
        <w:rPr>
          <w:rFonts w:ascii="Times New Roman" w:hAnsi="Times New Roman" w:cs="Times New Roman"/>
        </w:rPr>
        <w:t>at 155.</w:t>
      </w:r>
    </w:p>
  </w:footnote>
  <w:footnote w:id="32">
    <w:p w14:paraId="7E066484" w14:textId="5CC46D1D"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002E3950" w:rsidRPr="00DF1660">
        <w:rPr>
          <w:rFonts w:ascii="Times New Roman" w:hAnsi="Times New Roman" w:cs="Times New Roman"/>
        </w:rPr>
        <w:t xml:space="preserve"> Singer and </w:t>
      </w:r>
      <w:proofErr w:type="spellStart"/>
      <w:r w:rsidR="002E3950" w:rsidRPr="00DF1660">
        <w:rPr>
          <w:rFonts w:ascii="Times New Roman" w:hAnsi="Times New Roman" w:cs="Times New Roman"/>
        </w:rPr>
        <w:t>Katri</w:t>
      </w:r>
      <w:proofErr w:type="spellEnd"/>
      <w:r w:rsidR="002E3950" w:rsidRPr="00DF1660">
        <w:rPr>
          <w:rFonts w:ascii="Times New Roman" w:hAnsi="Times New Roman" w:cs="Times New Roman"/>
        </w:rPr>
        <w:t xml:space="preserve">, </w:t>
      </w:r>
      <w:r w:rsidR="002E3950" w:rsidRPr="00DF1660">
        <w:rPr>
          <w:rFonts w:ascii="Times New Roman" w:hAnsi="Times New Roman" w:cs="Times New Roman"/>
          <w:i/>
        </w:rPr>
        <w:t xml:space="preserve">supra </w:t>
      </w:r>
      <w:r w:rsidR="002E3950" w:rsidRPr="00DF1660">
        <w:rPr>
          <w:rFonts w:ascii="Times New Roman" w:hAnsi="Times New Roman" w:cs="Times New Roman"/>
        </w:rPr>
        <w:t xml:space="preserve">note </w:t>
      </w:r>
      <w:r w:rsidR="001C1FBF">
        <w:rPr>
          <w:rFonts w:ascii="Times New Roman" w:hAnsi="Times New Roman" w:cs="Times New Roman"/>
        </w:rPr>
        <w:t>15</w:t>
      </w:r>
      <w:r w:rsidR="002E3950" w:rsidRPr="00DF1660">
        <w:rPr>
          <w:rFonts w:ascii="Times New Roman" w:hAnsi="Times New Roman" w:cs="Times New Roman"/>
        </w:rPr>
        <w:t xml:space="preserve"> at 149.</w:t>
      </w:r>
    </w:p>
  </w:footnote>
  <w:footnote w:id="33">
    <w:p w14:paraId="564B230C" w14:textId="3635FB50"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proofErr w:type="spellStart"/>
      <w:r w:rsidRPr="00DF1660">
        <w:rPr>
          <w:rFonts w:ascii="Times New Roman" w:hAnsi="Times New Roman" w:cs="Times New Roman"/>
        </w:rPr>
        <w:t>Cossman</w:t>
      </w:r>
      <w:proofErr w:type="spellEnd"/>
      <w:r w:rsidRPr="00DF1660">
        <w:rPr>
          <w:rFonts w:ascii="Times New Roman" w:hAnsi="Times New Roman" w:cs="Times New Roman"/>
        </w:rPr>
        <w:t xml:space="preserve"> and </w:t>
      </w:r>
      <w:proofErr w:type="spellStart"/>
      <w:r w:rsidRPr="00DF1660">
        <w:rPr>
          <w:rFonts w:ascii="Times New Roman" w:hAnsi="Times New Roman" w:cs="Times New Roman"/>
        </w:rPr>
        <w:t>Leckey</w:t>
      </w:r>
      <w:proofErr w:type="spellEnd"/>
      <w:r w:rsidR="002E3950" w:rsidRPr="00DF1660">
        <w:rPr>
          <w:rFonts w:ascii="Times New Roman" w:hAnsi="Times New Roman" w:cs="Times New Roman"/>
        </w:rPr>
        <w:t xml:space="preserve">, </w:t>
      </w:r>
      <w:r w:rsidR="002E3950" w:rsidRPr="00DF1660">
        <w:rPr>
          <w:rFonts w:ascii="Times New Roman" w:hAnsi="Times New Roman" w:cs="Times New Roman"/>
          <w:i/>
        </w:rPr>
        <w:t>supra</w:t>
      </w:r>
      <w:r w:rsidR="002E3950" w:rsidRPr="00DF1660">
        <w:rPr>
          <w:rFonts w:ascii="Times New Roman" w:hAnsi="Times New Roman" w:cs="Times New Roman"/>
        </w:rPr>
        <w:t xml:space="preserve"> note </w:t>
      </w:r>
      <w:r w:rsidR="001C1FBF">
        <w:rPr>
          <w:rFonts w:ascii="Times New Roman" w:hAnsi="Times New Roman" w:cs="Times New Roman"/>
        </w:rPr>
        <w:t>27</w:t>
      </w:r>
      <w:r w:rsidRPr="00DF1660">
        <w:rPr>
          <w:rFonts w:ascii="Times New Roman" w:hAnsi="Times New Roman" w:cs="Times New Roman"/>
        </w:rPr>
        <w:t xml:space="preserve"> at 153.</w:t>
      </w:r>
    </w:p>
  </w:footnote>
  <w:footnote w:id="34">
    <w:p w14:paraId="75C01E17" w14:textId="672F1233" w:rsidR="007D6A93" w:rsidRPr="00DF1660" w:rsidRDefault="009B5059" w:rsidP="006E3686">
      <w:pPr>
        <w:autoSpaceDE w:val="0"/>
        <w:autoSpaceDN w:val="0"/>
        <w:adjustRightInd w:val="0"/>
        <w:spacing w:after="0" w:line="240" w:lineRule="auto"/>
        <w:rPr>
          <w:rFonts w:ascii="Times New Roman" w:hAnsi="Times New Roman" w:cs="Times New Roman"/>
          <w:sz w:val="20"/>
          <w:szCs w:val="20"/>
        </w:rPr>
      </w:pPr>
      <w:r w:rsidRPr="00DF1660">
        <w:rPr>
          <w:rStyle w:val="FootnoteReference"/>
          <w:rFonts w:ascii="Times New Roman" w:hAnsi="Times New Roman" w:cs="Times New Roman"/>
          <w:sz w:val="20"/>
          <w:szCs w:val="20"/>
        </w:rPr>
        <w:footnoteRef/>
      </w:r>
      <w:r w:rsidR="007D6A93" w:rsidRPr="00DF1660">
        <w:rPr>
          <w:rFonts w:ascii="Times New Roman" w:hAnsi="Times New Roman" w:cs="Times New Roman"/>
          <w:sz w:val="20"/>
          <w:szCs w:val="20"/>
        </w:rPr>
        <w:t xml:space="preserve"> Singer, </w:t>
      </w:r>
      <w:r w:rsidR="007D6A93" w:rsidRPr="00DF1660">
        <w:rPr>
          <w:rFonts w:ascii="Times New Roman" w:hAnsi="Times New Roman" w:cs="Times New Roman"/>
          <w:i/>
          <w:iCs/>
          <w:sz w:val="20"/>
          <w:szCs w:val="20"/>
        </w:rPr>
        <w:t xml:space="preserve">supra </w:t>
      </w:r>
      <w:r w:rsidRPr="00DF1660">
        <w:rPr>
          <w:rFonts w:ascii="Times New Roman" w:hAnsi="Times New Roman" w:cs="Times New Roman"/>
          <w:sz w:val="20"/>
          <w:szCs w:val="20"/>
        </w:rPr>
        <w:t xml:space="preserve">note </w:t>
      </w:r>
      <w:r w:rsidR="001C1FBF">
        <w:rPr>
          <w:rFonts w:ascii="Times New Roman" w:hAnsi="Times New Roman" w:cs="Times New Roman"/>
          <w:sz w:val="20"/>
          <w:szCs w:val="20"/>
        </w:rPr>
        <w:t>22</w:t>
      </w:r>
      <w:r w:rsidR="006E3686" w:rsidRPr="00DF1660">
        <w:rPr>
          <w:rFonts w:ascii="Times New Roman" w:hAnsi="Times New Roman" w:cs="Times New Roman"/>
          <w:sz w:val="20"/>
          <w:szCs w:val="20"/>
        </w:rPr>
        <w:t xml:space="preserve"> </w:t>
      </w:r>
      <w:r w:rsidR="007D6A93" w:rsidRPr="00DF1660">
        <w:rPr>
          <w:rFonts w:ascii="Times New Roman" w:hAnsi="Times New Roman" w:cs="Times New Roman"/>
          <w:sz w:val="20"/>
          <w:szCs w:val="20"/>
        </w:rPr>
        <w:t>at 314</w:t>
      </w:r>
      <w:r w:rsidR="006E3686" w:rsidRPr="00DF1660">
        <w:rPr>
          <w:rFonts w:ascii="Times New Roman" w:hAnsi="Times New Roman" w:cs="Times New Roman"/>
          <w:sz w:val="20"/>
          <w:szCs w:val="20"/>
        </w:rPr>
        <w:t xml:space="preserve"> citing Libby Adler, </w:t>
      </w:r>
      <w:r w:rsidR="006E3686" w:rsidRPr="001C1FBF">
        <w:rPr>
          <w:rFonts w:ascii="Times New Roman" w:hAnsi="Times New Roman" w:cs="Times New Roman"/>
          <w:i/>
          <w:sz w:val="20"/>
          <w:szCs w:val="20"/>
        </w:rPr>
        <w:t>Gay Priori: A Queer Critical Legal Studies Approach to Law Reform</w:t>
      </w:r>
      <w:r w:rsidR="006E3686" w:rsidRPr="00DF1660">
        <w:rPr>
          <w:rFonts w:ascii="Times New Roman" w:hAnsi="Times New Roman" w:cs="Times New Roman"/>
          <w:sz w:val="20"/>
          <w:szCs w:val="20"/>
        </w:rPr>
        <w:t xml:space="preserve"> (Dur</w:t>
      </w:r>
      <w:r w:rsidR="001C1FBF">
        <w:rPr>
          <w:rFonts w:ascii="Times New Roman" w:hAnsi="Times New Roman" w:cs="Times New Roman"/>
          <w:sz w:val="20"/>
          <w:szCs w:val="20"/>
        </w:rPr>
        <w:t>ham: Duke University Press</w:t>
      </w:r>
      <w:r w:rsidR="006E3686" w:rsidRPr="00DF1660">
        <w:rPr>
          <w:rFonts w:ascii="Times New Roman" w:hAnsi="Times New Roman" w:cs="Times New Roman"/>
          <w:sz w:val="20"/>
          <w:szCs w:val="20"/>
        </w:rPr>
        <w:t>, 2018) at 15.</w:t>
      </w:r>
    </w:p>
  </w:footnote>
  <w:footnote w:id="35">
    <w:p w14:paraId="0A141995" w14:textId="4F43728F"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Singer and </w:t>
      </w:r>
      <w:proofErr w:type="spellStart"/>
      <w:r w:rsidRPr="00DF1660">
        <w:rPr>
          <w:rFonts w:ascii="Times New Roman" w:hAnsi="Times New Roman" w:cs="Times New Roman"/>
        </w:rPr>
        <w:t>Katri</w:t>
      </w:r>
      <w:proofErr w:type="spellEnd"/>
      <w:r w:rsidR="009B5059" w:rsidRPr="00DF1660">
        <w:rPr>
          <w:rFonts w:ascii="Times New Roman" w:hAnsi="Times New Roman" w:cs="Times New Roman"/>
        </w:rPr>
        <w:t xml:space="preserve">, </w:t>
      </w:r>
      <w:r w:rsidR="009B5059" w:rsidRPr="00DF1660">
        <w:rPr>
          <w:rFonts w:ascii="Times New Roman" w:hAnsi="Times New Roman" w:cs="Times New Roman"/>
          <w:i/>
        </w:rPr>
        <w:t xml:space="preserve">supra </w:t>
      </w:r>
      <w:r w:rsidR="009B5059" w:rsidRPr="00DF1660">
        <w:rPr>
          <w:rFonts w:ascii="Times New Roman" w:hAnsi="Times New Roman" w:cs="Times New Roman"/>
        </w:rPr>
        <w:t xml:space="preserve">note </w:t>
      </w:r>
      <w:r w:rsidR="001C1FBF">
        <w:rPr>
          <w:rFonts w:ascii="Times New Roman" w:hAnsi="Times New Roman" w:cs="Times New Roman"/>
        </w:rPr>
        <w:t>15</w:t>
      </w:r>
      <w:r w:rsidRPr="00DF1660">
        <w:rPr>
          <w:rFonts w:ascii="Times New Roman" w:hAnsi="Times New Roman" w:cs="Times New Roman"/>
        </w:rPr>
        <w:t xml:space="preserve"> at 149.</w:t>
      </w:r>
    </w:p>
  </w:footnote>
  <w:footnote w:id="36">
    <w:p w14:paraId="402628AB" w14:textId="27984940" w:rsidR="007D6A93" w:rsidRPr="00DF1660" w:rsidRDefault="009B5059">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Namaste and</w:t>
      </w:r>
      <w:r w:rsidR="007D6A93" w:rsidRPr="00DF1660">
        <w:rPr>
          <w:rFonts w:ascii="Times New Roman" w:hAnsi="Times New Roman" w:cs="Times New Roman"/>
        </w:rPr>
        <w:t xml:space="preserve"> </w:t>
      </w:r>
      <w:proofErr w:type="spellStart"/>
      <w:r w:rsidR="007D6A93" w:rsidRPr="00DF1660">
        <w:rPr>
          <w:rFonts w:ascii="Times New Roman" w:hAnsi="Times New Roman" w:cs="Times New Roman"/>
        </w:rPr>
        <w:t>Tourki</w:t>
      </w:r>
      <w:proofErr w:type="spellEnd"/>
      <w:r w:rsidR="00AF7185" w:rsidRPr="00DF1660">
        <w:rPr>
          <w:rFonts w:ascii="Times New Roman" w:hAnsi="Times New Roman" w:cs="Times New Roman"/>
        </w:rPr>
        <w:t xml:space="preserve"> situate their arguments in relation to the broader issu</w:t>
      </w:r>
      <w:r w:rsidR="007220F2">
        <w:rPr>
          <w:rFonts w:ascii="Times New Roman" w:hAnsi="Times New Roman" w:cs="Times New Roman"/>
        </w:rPr>
        <w:t>es of the Civil Rights Movement,</w:t>
      </w:r>
      <w:r w:rsidR="00AF7185" w:rsidRPr="00DF1660">
        <w:rPr>
          <w:rFonts w:ascii="Times New Roman" w:hAnsi="Times New Roman" w:cs="Times New Roman"/>
        </w:rPr>
        <w:t xml:space="preserve"> as a</w:t>
      </w:r>
      <w:r w:rsidR="007220F2">
        <w:rPr>
          <w:rFonts w:ascii="Times New Roman" w:hAnsi="Times New Roman" w:cs="Times New Roman"/>
        </w:rPr>
        <w:t>n</w:t>
      </w:r>
      <w:r w:rsidR="00AF7185" w:rsidRPr="00DF1660">
        <w:rPr>
          <w:rFonts w:ascii="Times New Roman" w:hAnsi="Times New Roman" w:cs="Times New Roman"/>
        </w:rPr>
        <w:t xml:space="preserve"> influence on marginalized communities</w:t>
      </w:r>
      <w:r w:rsidR="007220F2">
        <w:rPr>
          <w:rFonts w:ascii="Times New Roman" w:hAnsi="Times New Roman" w:cs="Times New Roman"/>
        </w:rPr>
        <w:t>,</w:t>
      </w:r>
      <w:r w:rsidR="00AF7185" w:rsidRPr="00DF1660">
        <w:rPr>
          <w:rFonts w:ascii="Times New Roman" w:hAnsi="Times New Roman" w:cs="Times New Roman"/>
        </w:rPr>
        <w:t xml:space="preserve"> and subsequent actions for recognition and redistribution</w:t>
      </w:r>
      <w:r w:rsidR="007D6A93" w:rsidRPr="00DF1660">
        <w:rPr>
          <w:rFonts w:ascii="Times New Roman" w:hAnsi="Times New Roman" w:cs="Times New Roman"/>
        </w:rPr>
        <w:t xml:space="preserve">, </w:t>
      </w:r>
      <w:r w:rsidR="007D6A93" w:rsidRPr="00DF1660">
        <w:rPr>
          <w:rFonts w:ascii="Times New Roman" w:hAnsi="Times New Roman" w:cs="Times New Roman"/>
          <w:i/>
          <w:iCs/>
        </w:rPr>
        <w:t xml:space="preserve">supra </w:t>
      </w:r>
      <w:r w:rsidRPr="00DF1660">
        <w:rPr>
          <w:rFonts w:ascii="Times New Roman" w:hAnsi="Times New Roman" w:cs="Times New Roman"/>
        </w:rPr>
        <w:t xml:space="preserve">note </w:t>
      </w:r>
      <w:r w:rsidRPr="00DF1660">
        <w:rPr>
          <w:rFonts w:ascii="Times New Roman" w:hAnsi="Times New Roman" w:cs="Times New Roman"/>
        </w:rPr>
        <w:fldChar w:fldCharType="begin"/>
      </w:r>
      <w:r w:rsidRPr="00DF1660">
        <w:rPr>
          <w:rFonts w:ascii="Times New Roman" w:hAnsi="Times New Roman" w:cs="Times New Roman"/>
        </w:rPr>
        <w:instrText xml:space="preserve"> NOTEREF _Ref65661145 \h </w:instrText>
      </w:r>
      <w:r w:rsidR="00DF1660" w:rsidRPr="00DF1660">
        <w:rPr>
          <w:rFonts w:ascii="Times New Roman" w:hAnsi="Times New Roman" w:cs="Times New Roman"/>
        </w:rPr>
        <w:instrText xml:space="preserve"> \* MERGEFORMAT </w:instrText>
      </w:r>
      <w:r w:rsidRPr="00DF1660">
        <w:rPr>
          <w:rFonts w:ascii="Times New Roman" w:hAnsi="Times New Roman" w:cs="Times New Roman"/>
        </w:rPr>
      </w:r>
      <w:r w:rsidRPr="00DF1660">
        <w:rPr>
          <w:rFonts w:ascii="Times New Roman" w:hAnsi="Times New Roman" w:cs="Times New Roman"/>
        </w:rPr>
        <w:fldChar w:fldCharType="separate"/>
      </w:r>
      <w:r w:rsidR="007220F2">
        <w:rPr>
          <w:rFonts w:ascii="Times New Roman" w:hAnsi="Times New Roman" w:cs="Times New Roman"/>
        </w:rPr>
        <w:t>17</w:t>
      </w:r>
      <w:r w:rsidRPr="00DF1660">
        <w:rPr>
          <w:rFonts w:ascii="Times New Roman" w:hAnsi="Times New Roman" w:cs="Times New Roman"/>
        </w:rPr>
        <w:fldChar w:fldCharType="end"/>
      </w:r>
      <w:r w:rsidR="007D6A93" w:rsidRPr="00DF1660">
        <w:rPr>
          <w:rFonts w:ascii="Times New Roman" w:hAnsi="Times New Roman" w:cs="Times New Roman"/>
        </w:rPr>
        <w:t xml:space="preserve"> at 163.</w:t>
      </w:r>
      <w:r w:rsidR="00AF7185" w:rsidRPr="00DF1660">
        <w:rPr>
          <w:rFonts w:ascii="Times New Roman" w:hAnsi="Times New Roman" w:cs="Times New Roman"/>
        </w:rPr>
        <w:t xml:space="preserve"> </w:t>
      </w:r>
      <w:r w:rsidRPr="00DF1660">
        <w:rPr>
          <w:rFonts w:ascii="Times New Roman" w:hAnsi="Times New Roman" w:cs="Times New Roman"/>
        </w:rPr>
        <w:t xml:space="preserve"> </w:t>
      </w:r>
    </w:p>
  </w:footnote>
  <w:footnote w:id="37">
    <w:p w14:paraId="12F30329" w14:textId="72CBAAC0"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 xml:space="preserve">Ibid. </w:t>
      </w:r>
    </w:p>
  </w:footnote>
  <w:footnote w:id="38">
    <w:p w14:paraId="0FCD09F9" w14:textId="63B367C5" w:rsidR="007D6A93" w:rsidRPr="00DF1660" w:rsidRDefault="007D6A93">
      <w:pPr>
        <w:pStyle w:val="FootnoteText"/>
        <w:rPr>
          <w:rFonts w:ascii="Times New Roman" w:hAnsi="Times New Roman" w:cs="Times New Roman"/>
          <w:i/>
        </w:rPr>
      </w:pPr>
      <w:r w:rsidRPr="00DF1660">
        <w:rPr>
          <w:rStyle w:val="FootnoteReference"/>
          <w:rFonts w:ascii="Times New Roman" w:hAnsi="Times New Roman" w:cs="Times New Roman"/>
        </w:rPr>
        <w:footnoteRef/>
      </w:r>
      <w:r w:rsidR="00AF7185" w:rsidRPr="00DF1660">
        <w:rPr>
          <w:rFonts w:ascii="Times New Roman" w:hAnsi="Times New Roman" w:cs="Times New Roman"/>
        </w:rPr>
        <w:t xml:space="preserve"> </w:t>
      </w:r>
      <w:r w:rsidR="00AF7185" w:rsidRPr="00DF1660">
        <w:rPr>
          <w:rFonts w:ascii="Times New Roman" w:hAnsi="Times New Roman" w:cs="Times New Roman"/>
          <w:i/>
        </w:rPr>
        <w:t>Ibid.</w:t>
      </w:r>
    </w:p>
  </w:footnote>
  <w:footnote w:id="39">
    <w:p w14:paraId="48045346" w14:textId="0FD4B0F7"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00AF7185" w:rsidRPr="00DF1660">
        <w:rPr>
          <w:rFonts w:ascii="Times New Roman" w:hAnsi="Times New Roman" w:cs="Times New Roman"/>
          <w:i/>
          <w:iCs/>
        </w:rPr>
        <w:t xml:space="preserve">Ibid. </w:t>
      </w:r>
      <w:r w:rsidR="00AF7185" w:rsidRPr="00DF1660">
        <w:rPr>
          <w:rFonts w:ascii="Times New Roman" w:hAnsi="Times New Roman" w:cs="Times New Roman"/>
          <w:iCs/>
        </w:rPr>
        <w:t>at 164.</w:t>
      </w:r>
      <w:r w:rsidRPr="00DF1660">
        <w:rPr>
          <w:rFonts w:ascii="Times New Roman" w:hAnsi="Times New Roman" w:cs="Times New Roman"/>
          <w:i/>
          <w:iCs/>
        </w:rPr>
        <w:t xml:space="preserve"> </w:t>
      </w:r>
    </w:p>
  </w:footnote>
  <w:footnote w:id="40">
    <w:p w14:paraId="68FB78A6" w14:textId="2A8D4FA7"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Singer, </w:t>
      </w:r>
      <w:r w:rsidRPr="00DF1660">
        <w:rPr>
          <w:rFonts w:ascii="Times New Roman" w:hAnsi="Times New Roman" w:cs="Times New Roman"/>
          <w:i/>
          <w:iCs/>
        </w:rPr>
        <w:t xml:space="preserve">supra </w:t>
      </w:r>
      <w:r w:rsidR="00AF7185" w:rsidRPr="00DF1660">
        <w:rPr>
          <w:rFonts w:ascii="Times New Roman" w:hAnsi="Times New Roman" w:cs="Times New Roman"/>
        </w:rPr>
        <w:t xml:space="preserve">note </w:t>
      </w:r>
      <w:r w:rsidR="007220F2">
        <w:rPr>
          <w:rFonts w:ascii="Times New Roman" w:hAnsi="Times New Roman" w:cs="Times New Roman"/>
        </w:rPr>
        <w:t>22</w:t>
      </w:r>
      <w:r w:rsidRPr="00DF1660">
        <w:rPr>
          <w:rFonts w:ascii="Times New Roman" w:hAnsi="Times New Roman" w:cs="Times New Roman"/>
        </w:rPr>
        <w:t xml:space="preserve"> at 293.</w:t>
      </w:r>
    </w:p>
  </w:footnote>
  <w:footnote w:id="41">
    <w:p w14:paraId="12505871" w14:textId="7B8E8719"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 xml:space="preserve">Ibid. </w:t>
      </w:r>
    </w:p>
  </w:footnote>
  <w:footnote w:id="42">
    <w:p w14:paraId="2F5D9C40" w14:textId="68EE230F" w:rsidR="007D6A93" w:rsidRPr="00DF1660" w:rsidRDefault="00AF7185">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Irving and</w:t>
      </w:r>
      <w:r w:rsidR="007D6A93" w:rsidRPr="00DF1660">
        <w:rPr>
          <w:rFonts w:ascii="Times New Roman" w:hAnsi="Times New Roman" w:cs="Times New Roman"/>
        </w:rPr>
        <w:t xml:space="preserve"> </w:t>
      </w:r>
      <w:proofErr w:type="spellStart"/>
      <w:r w:rsidR="007D6A93" w:rsidRPr="00DF1660">
        <w:rPr>
          <w:rFonts w:ascii="Times New Roman" w:hAnsi="Times New Roman" w:cs="Times New Roman"/>
        </w:rPr>
        <w:t>Hoo</w:t>
      </w:r>
      <w:proofErr w:type="spellEnd"/>
      <w:r w:rsidR="007D6A93" w:rsidRPr="00DF1660">
        <w:rPr>
          <w:rFonts w:ascii="Times New Roman" w:hAnsi="Times New Roman" w:cs="Times New Roman"/>
        </w:rPr>
        <w:t xml:space="preserve">, </w:t>
      </w:r>
      <w:r w:rsidR="007D6A93" w:rsidRPr="00DF1660">
        <w:rPr>
          <w:rFonts w:ascii="Times New Roman" w:hAnsi="Times New Roman" w:cs="Times New Roman"/>
          <w:i/>
          <w:iCs/>
        </w:rPr>
        <w:t xml:space="preserve">supra </w:t>
      </w:r>
      <w:r w:rsidRPr="00DF1660">
        <w:rPr>
          <w:rFonts w:ascii="Times New Roman" w:hAnsi="Times New Roman" w:cs="Times New Roman"/>
        </w:rPr>
        <w:t xml:space="preserve">note </w:t>
      </w:r>
      <w:r w:rsidR="007220F2">
        <w:rPr>
          <w:rFonts w:ascii="Times New Roman" w:hAnsi="Times New Roman" w:cs="Times New Roman"/>
        </w:rPr>
        <w:t>18</w:t>
      </w:r>
      <w:r w:rsidR="007D6A93" w:rsidRPr="00DF1660">
        <w:rPr>
          <w:rFonts w:ascii="Times New Roman" w:hAnsi="Times New Roman" w:cs="Times New Roman"/>
        </w:rPr>
        <w:t xml:space="preserve"> at 198.  Questions of how marginalization in workplaces may differ on the basis of gender for trans folk is investigated by Kristen </w:t>
      </w:r>
      <w:proofErr w:type="spellStart"/>
      <w:r w:rsidR="007D6A93" w:rsidRPr="00DF1660">
        <w:rPr>
          <w:rFonts w:ascii="Times New Roman" w:hAnsi="Times New Roman" w:cs="Times New Roman"/>
        </w:rPr>
        <w:t>Schilt</w:t>
      </w:r>
      <w:proofErr w:type="spellEnd"/>
      <w:r w:rsidR="007D6A93" w:rsidRPr="00DF1660">
        <w:rPr>
          <w:rFonts w:ascii="Times New Roman" w:hAnsi="Times New Roman" w:cs="Times New Roman"/>
        </w:rPr>
        <w:t xml:space="preserve"> and Matthew </w:t>
      </w:r>
      <w:proofErr w:type="spellStart"/>
      <w:r w:rsidR="007D6A93" w:rsidRPr="00DF1660">
        <w:rPr>
          <w:rFonts w:ascii="Times New Roman" w:hAnsi="Times New Roman" w:cs="Times New Roman"/>
        </w:rPr>
        <w:t>Wiswall</w:t>
      </w:r>
      <w:proofErr w:type="spellEnd"/>
      <w:r w:rsidR="007D6A93" w:rsidRPr="00DF1660">
        <w:rPr>
          <w:rFonts w:ascii="Times New Roman" w:hAnsi="Times New Roman" w:cs="Times New Roman"/>
        </w:rPr>
        <w:t xml:space="preserve"> in their 2008 study, “Before and After: Gender Transitions, Human Capital, and Workplace Experiences” (2008) 8(1) </w:t>
      </w:r>
      <w:r w:rsidR="007D6A93" w:rsidRPr="00DF1660">
        <w:rPr>
          <w:rFonts w:ascii="Times New Roman" w:hAnsi="Times New Roman" w:cs="Times New Roman"/>
          <w:i/>
        </w:rPr>
        <w:t>The B.E. Journal of Economic Analysis &amp; Policy</w:t>
      </w:r>
      <w:r w:rsidR="007D6A93" w:rsidRPr="00DF1660">
        <w:rPr>
          <w:rFonts w:ascii="Times New Roman" w:hAnsi="Times New Roman" w:cs="Times New Roman"/>
        </w:rPr>
        <w:t xml:space="preserve"> 1-26 at 18-19.  They argue that male privilege in respect of earnings does not carry over post-transition for the workers in their study. </w:t>
      </w:r>
    </w:p>
  </w:footnote>
  <w:footnote w:id="43">
    <w:p w14:paraId="35401BBE" w14:textId="78FCB44F"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proofErr w:type="spellStart"/>
      <w:r w:rsidRPr="00DF1660">
        <w:rPr>
          <w:rFonts w:ascii="Times New Roman" w:hAnsi="Times New Roman" w:cs="Times New Roman"/>
        </w:rPr>
        <w:t>Kirkup</w:t>
      </w:r>
      <w:proofErr w:type="spellEnd"/>
      <w:r w:rsidRPr="00DF1660">
        <w:rPr>
          <w:rFonts w:ascii="Times New Roman" w:hAnsi="Times New Roman" w:cs="Times New Roman"/>
        </w:rPr>
        <w:t xml:space="preserve"> et al., </w:t>
      </w:r>
      <w:r w:rsidRPr="00DF1660">
        <w:rPr>
          <w:rFonts w:ascii="Times New Roman" w:hAnsi="Times New Roman" w:cs="Times New Roman"/>
          <w:i/>
          <w:iCs/>
        </w:rPr>
        <w:t>supra</w:t>
      </w:r>
      <w:r w:rsidR="00AF7185" w:rsidRPr="00DF1660">
        <w:rPr>
          <w:rFonts w:ascii="Times New Roman" w:hAnsi="Times New Roman" w:cs="Times New Roman"/>
        </w:rPr>
        <w:t xml:space="preserve"> note </w:t>
      </w:r>
      <w:r w:rsidR="00AF7185" w:rsidRPr="00DF1660">
        <w:rPr>
          <w:rFonts w:ascii="Times New Roman" w:hAnsi="Times New Roman" w:cs="Times New Roman"/>
        </w:rPr>
        <w:fldChar w:fldCharType="begin"/>
      </w:r>
      <w:r w:rsidR="00AF7185" w:rsidRPr="00DF1660">
        <w:rPr>
          <w:rFonts w:ascii="Times New Roman" w:hAnsi="Times New Roman" w:cs="Times New Roman"/>
        </w:rPr>
        <w:instrText xml:space="preserve"> NOTEREF _Ref65661683 \h </w:instrText>
      </w:r>
      <w:r w:rsidR="00DF1660" w:rsidRPr="00DF1660">
        <w:rPr>
          <w:rFonts w:ascii="Times New Roman" w:hAnsi="Times New Roman" w:cs="Times New Roman"/>
        </w:rPr>
        <w:instrText xml:space="preserve"> \* MERGEFORMAT </w:instrText>
      </w:r>
      <w:r w:rsidR="00AF7185" w:rsidRPr="00DF1660">
        <w:rPr>
          <w:rFonts w:ascii="Times New Roman" w:hAnsi="Times New Roman" w:cs="Times New Roman"/>
        </w:rPr>
      </w:r>
      <w:r w:rsidR="00AF7185" w:rsidRPr="00DF1660">
        <w:rPr>
          <w:rFonts w:ascii="Times New Roman" w:hAnsi="Times New Roman" w:cs="Times New Roman"/>
        </w:rPr>
        <w:fldChar w:fldCharType="separate"/>
      </w:r>
      <w:r w:rsidR="007220F2">
        <w:rPr>
          <w:rFonts w:ascii="Times New Roman" w:hAnsi="Times New Roman" w:cs="Times New Roman"/>
        </w:rPr>
        <w:t>20</w:t>
      </w:r>
      <w:r w:rsidR="00AF7185" w:rsidRPr="00DF1660">
        <w:rPr>
          <w:rFonts w:ascii="Times New Roman" w:hAnsi="Times New Roman" w:cs="Times New Roman"/>
        </w:rPr>
        <w:fldChar w:fldCharType="end"/>
      </w:r>
      <w:r w:rsidRPr="00DF1660">
        <w:rPr>
          <w:rFonts w:ascii="Times New Roman" w:hAnsi="Times New Roman" w:cs="Times New Roman"/>
        </w:rPr>
        <w:t xml:space="preserve"> at 250.</w:t>
      </w:r>
    </w:p>
  </w:footnote>
  <w:footnote w:id="44">
    <w:p w14:paraId="77750F5A" w14:textId="3E0CDC48"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Ibid</w:t>
      </w:r>
      <w:r w:rsidRPr="00DF1660">
        <w:rPr>
          <w:rFonts w:ascii="Times New Roman" w:hAnsi="Times New Roman" w:cs="Times New Roman"/>
        </w:rPr>
        <w:t xml:space="preserve"> at 252.</w:t>
      </w:r>
    </w:p>
  </w:footnote>
  <w:footnote w:id="45">
    <w:p w14:paraId="5CA398CA" w14:textId="099F05C2"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For the first time I have turned my mind to how I use the pronouns of the authors that I cite in an academic work.  For the authors in the volume I draw on the information that was provided at the Conference, in their bios and on their websites for their pronouns.  Thank you to Samuel Singer who gracefully provided me with links and other information that I had not found. For all others I have done my best to access current information, while recognizing the importance of this ongoing citational practice. </w:t>
      </w:r>
    </w:p>
  </w:footnote>
  <w:footnote w:id="46">
    <w:p w14:paraId="49BF2179" w14:textId="3257D7C0"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Laidlaw, </w:t>
      </w:r>
      <w:r w:rsidRPr="00DF1660">
        <w:rPr>
          <w:rFonts w:ascii="Times New Roman" w:hAnsi="Times New Roman" w:cs="Times New Roman"/>
          <w:i/>
          <w:iCs/>
        </w:rPr>
        <w:t xml:space="preserve">supra </w:t>
      </w:r>
      <w:r w:rsidR="007220F2">
        <w:rPr>
          <w:rFonts w:ascii="Times New Roman" w:hAnsi="Times New Roman" w:cs="Times New Roman"/>
        </w:rPr>
        <w:t>note 21</w:t>
      </w:r>
      <w:r w:rsidRPr="00DF1660">
        <w:rPr>
          <w:rFonts w:ascii="Times New Roman" w:hAnsi="Times New Roman" w:cs="Times New Roman"/>
        </w:rPr>
        <w:t xml:space="preserve"> at 273. </w:t>
      </w:r>
    </w:p>
  </w:footnote>
  <w:footnote w:id="47">
    <w:p w14:paraId="44740AB4" w14:textId="2A044FCC"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 xml:space="preserve">Ibid </w:t>
      </w:r>
      <w:r w:rsidRPr="00DF1660">
        <w:rPr>
          <w:rFonts w:ascii="Times New Roman" w:hAnsi="Times New Roman" w:cs="Times New Roman"/>
        </w:rPr>
        <w:t>at 287. The argument here is that heteronormativity and cisgenderism runs deep in the University context.</w:t>
      </w:r>
    </w:p>
  </w:footnote>
  <w:footnote w:id="48">
    <w:p w14:paraId="32CB7CE0" w14:textId="5EFC889F" w:rsidR="007D6A93" w:rsidRPr="00576C71" w:rsidRDefault="007D6A93" w:rsidP="00923EB8">
      <w:pPr>
        <w:autoSpaceDE w:val="0"/>
        <w:autoSpaceDN w:val="0"/>
        <w:adjustRightInd w:val="0"/>
        <w:spacing w:after="0" w:line="240" w:lineRule="auto"/>
        <w:rPr>
          <w:rFonts w:ascii="Times New Roman" w:hAnsi="Times New Roman" w:cs="Times New Roman"/>
          <w:sz w:val="20"/>
          <w:szCs w:val="20"/>
        </w:rPr>
      </w:pPr>
      <w:r w:rsidRPr="00DF1660">
        <w:rPr>
          <w:rStyle w:val="FootnoteReference"/>
          <w:rFonts w:ascii="Times New Roman" w:hAnsi="Times New Roman" w:cs="Times New Roman"/>
          <w:sz w:val="20"/>
          <w:szCs w:val="20"/>
        </w:rPr>
        <w:footnoteRef/>
      </w:r>
      <w:r w:rsidRPr="00DF1660">
        <w:rPr>
          <w:rFonts w:ascii="Times New Roman" w:hAnsi="Times New Roman" w:cs="Times New Roman"/>
          <w:sz w:val="20"/>
          <w:szCs w:val="20"/>
        </w:rPr>
        <w:t xml:space="preserve"> </w:t>
      </w:r>
      <w:r w:rsidRPr="00DF1660">
        <w:rPr>
          <w:rFonts w:ascii="Times New Roman" w:hAnsi="Times New Roman" w:cs="Times New Roman"/>
          <w:i/>
          <w:iCs/>
          <w:sz w:val="20"/>
          <w:szCs w:val="20"/>
        </w:rPr>
        <w:t xml:space="preserve">Ibid </w:t>
      </w:r>
      <w:r w:rsidRPr="00DF1660">
        <w:rPr>
          <w:rFonts w:ascii="Times New Roman" w:hAnsi="Times New Roman" w:cs="Times New Roman"/>
          <w:sz w:val="20"/>
          <w:szCs w:val="20"/>
        </w:rPr>
        <w:t>at 286. Contex</w:t>
      </w:r>
      <w:r w:rsidR="007220F2">
        <w:rPr>
          <w:rFonts w:ascii="Times New Roman" w:hAnsi="Times New Roman" w:cs="Times New Roman"/>
          <w:sz w:val="20"/>
          <w:szCs w:val="20"/>
        </w:rPr>
        <w:t>t</w:t>
      </w:r>
      <w:r w:rsidRPr="00DF1660">
        <w:rPr>
          <w:rFonts w:ascii="Times New Roman" w:hAnsi="Times New Roman" w:cs="Times New Roman"/>
          <w:sz w:val="20"/>
          <w:szCs w:val="20"/>
        </w:rPr>
        <w:t>ually, many questions about inclusion in the university context have arisen around bathrooms; and here meaningful inclusion requires attention to nuanced understandings of the needs of genderqueer students, alongside survivors of violence, students of faith, and others. Laidlaw calls for attention to what is often cast as rights in conflict, that the</w:t>
      </w:r>
      <w:r w:rsidRPr="00576C71">
        <w:rPr>
          <w:rFonts w:ascii="Times New Roman" w:hAnsi="Times New Roman" w:cs="Times New Roman"/>
          <w:sz w:val="20"/>
          <w:szCs w:val="20"/>
        </w:rPr>
        <w:t xml:space="preserve"> sexism of our society be addressed in tandem with degendering facilities and to distinguish claims that arise from discriminatory stereotypes.</w:t>
      </w:r>
    </w:p>
  </w:footnote>
  <w:footnote w:id="49">
    <w:p w14:paraId="022430D7" w14:textId="082BD614" w:rsidR="006142C8" w:rsidRPr="008F6A29" w:rsidRDefault="006142C8">
      <w:pPr>
        <w:pStyle w:val="FootnoteText"/>
        <w:rPr>
          <w:rFonts w:ascii="Times New Roman" w:hAnsi="Times New Roman" w:cs="Times New Roman"/>
        </w:rPr>
      </w:pPr>
      <w:r w:rsidRPr="008F6A29">
        <w:rPr>
          <w:rStyle w:val="FootnoteReference"/>
          <w:rFonts w:ascii="Times New Roman" w:hAnsi="Times New Roman" w:cs="Times New Roman"/>
        </w:rPr>
        <w:footnoteRef/>
      </w:r>
      <w:r w:rsidRPr="008F6A29">
        <w:rPr>
          <w:rFonts w:ascii="Times New Roman" w:hAnsi="Times New Roman" w:cs="Times New Roman"/>
        </w:rPr>
        <w:t xml:space="preserve"> </w:t>
      </w:r>
      <w:r w:rsidR="00974A1C" w:rsidRPr="008F6A29">
        <w:rPr>
          <w:rFonts w:ascii="Times New Roman" w:hAnsi="Times New Roman" w:cs="Times New Roman"/>
        </w:rPr>
        <w:t>As a hashtag, meme or gif, this adage has become so common as to perhaps lose its meaning. It is also challenging that this historical moment necessitates stating what to this author is obvious, that the pursuit of inclusion for trans people necessitates a reminder of their humanity. In a legal context, the question of trans rights as human rights also requires a careful interrogation of human rights legislation and the structures of anti-discrimination provisions, many of which do not explicitly include gender identity or expression.</w:t>
      </w:r>
      <w:r w:rsidRPr="008F6A29">
        <w:rPr>
          <w:rFonts w:ascii="Times New Roman" w:hAnsi="Times New Roman" w:cs="Times New Roman"/>
        </w:rPr>
        <w:t xml:space="preserve"> </w:t>
      </w:r>
      <w:r w:rsidR="00974A1C" w:rsidRPr="008F6A29">
        <w:rPr>
          <w:rFonts w:ascii="Times New Roman" w:hAnsi="Times New Roman" w:cs="Times New Roman"/>
        </w:rPr>
        <w:t xml:space="preserve"> For a good discussion of this phraseology see: </w:t>
      </w:r>
      <w:hyperlink r:id="rId18" w:history="1">
        <w:r w:rsidR="007220F2" w:rsidRPr="00F47E05">
          <w:rPr>
            <w:rStyle w:val="Hyperlink"/>
            <w:rFonts w:ascii="Times New Roman" w:hAnsi="Times New Roman" w:cs="Times New Roman"/>
          </w:rPr>
          <w:t>https://www.openglobalrights.org/the-limits-and-the-promise-of-trans-rights-as-human-rights-claims/</w:t>
        </w:r>
      </w:hyperlink>
      <w:r w:rsidR="00715266" w:rsidRPr="008F6A29">
        <w:rPr>
          <w:rFonts w:ascii="Times New Roman" w:hAnsi="Times New Roman" w:cs="Times New Roman"/>
        </w:rPr>
        <w:t>.</w:t>
      </w:r>
    </w:p>
  </w:footnote>
  <w:footnote w:id="50">
    <w:p w14:paraId="7A4A7938" w14:textId="0E7108F8" w:rsidR="005027C9" w:rsidRPr="008F6A29" w:rsidRDefault="005027C9">
      <w:pPr>
        <w:pStyle w:val="FootnoteText"/>
        <w:rPr>
          <w:rFonts w:ascii="Times New Roman" w:hAnsi="Times New Roman" w:cs="Times New Roman"/>
        </w:rPr>
      </w:pPr>
      <w:r w:rsidRPr="008F6A29">
        <w:rPr>
          <w:rStyle w:val="FootnoteReference"/>
          <w:rFonts w:ascii="Times New Roman" w:hAnsi="Times New Roman" w:cs="Times New Roman"/>
        </w:rPr>
        <w:footnoteRef/>
      </w:r>
      <w:r w:rsidRPr="008F6A29">
        <w:rPr>
          <w:rFonts w:ascii="Times New Roman" w:hAnsi="Times New Roman" w:cs="Times New Roman"/>
        </w:rPr>
        <w:t xml:space="preserve"> </w:t>
      </w:r>
      <w:r w:rsidR="00576C71" w:rsidRPr="008F6A29">
        <w:rPr>
          <w:rFonts w:ascii="Times New Roman" w:hAnsi="Times New Roman" w:cs="Times New Roman"/>
        </w:rPr>
        <w:t xml:space="preserve">Singer, </w:t>
      </w:r>
      <w:r w:rsidR="00576C71" w:rsidRPr="008F6A29">
        <w:rPr>
          <w:rFonts w:ascii="Times New Roman" w:hAnsi="Times New Roman" w:cs="Times New Roman"/>
          <w:i/>
          <w:iCs/>
        </w:rPr>
        <w:t xml:space="preserve">supra </w:t>
      </w:r>
      <w:r w:rsidR="00576C71" w:rsidRPr="008F6A29">
        <w:rPr>
          <w:rFonts w:ascii="Times New Roman" w:hAnsi="Times New Roman" w:cs="Times New Roman"/>
        </w:rPr>
        <w:t xml:space="preserve">note </w:t>
      </w:r>
      <w:r w:rsidR="007220F2">
        <w:rPr>
          <w:rFonts w:ascii="Times New Roman" w:hAnsi="Times New Roman" w:cs="Times New Roman"/>
        </w:rPr>
        <w:t>22</w:t>
      </w:r>
      <w:r w:rsidR="00576C71" w:rsidRPr="008F6A29">
        <w:rPr>
          <w:rFonts w:ascii="Times New Roman" w:hAnsi="Times New Roman" w:cs="Times New Roman"/>
        </w:rPr>
        <w:t xml:space="preserve"> at 315.</w:t>
      </w:r>
    </w:p>
  </w:footnote>
  <w:footnote w:id="51">
    <w:p w14:paraId="43825CEA" w14:textId="49FE0C67" w:rsidR="007D6A93" w:rsidRPr="00DF1660" w:rsidRDefault="007D6A93">
      <w:pPr>
        <w:pStyle w:val="FootnoteText"/>
        <w:rPr>
          <w:rFonts w:ascii="Times New Roman" w:hAnsi="Times New Roman" w:cs="Times New Roman"/>
        </w:rPr>
      </w:pPr>
      <w:r w:rsidRPr="00576C71">
        <w:rPr>
          <w:rStyle w:val="FootnoteReference"/>
          <w:rFonts w:ascii="Times New Roman" w:hAnsi="Times New Roman" w:cs="Times New Roman"/>
        </w:rPr>
        <w:footnoteRef/>
      </w:r>
      <w:r w:rsidR="00AF7185" w:rsidRPr="00576C71">
        <w:rPr>
          <w:rFonts w:ascii="Times New Roman" w:hAnsi="Times New Roman" w:cs="Times New Roman"/>
        </w:rPr>
        <w:t xml:space="preserve"> Singer and </w:t>
      </w:r>
      <w:proofErr w:type="spellStart"/>
      <w:r w:rsidR="00AF7185" w:rsidRPr="00576C71">
        <w:rPr>
          <w:rFonts w:ascii="Times New Roman" w:hAnsi="Times New Roman" w:cs="Times New Roman"/>
        </w:rPr>
        <w:t>Katri</w:t>
      </w:r>
      <w:proofErr w:type="spellEnd"/>
      <w:r w:rsidR="00AF7185" w:rsidRPr="00576C71">
        <w:rPr>
          <w:rFonts w:ascii="Times New Roman" w:hAnsi="Times New Roman" w:cs="Times New Roman"/>
        </w:rPr>
        <w:t xml:space="preserve">, </w:t>
      </w:r>
      <w:r w:rsidR="00AF7185" w:rsidRPr="00576C71">
        <w:rPr>
          <w:rFonts w:ascii="Times New Roman" w:hAnsi="Times New Roman" w:cs="Times New Roman"/>
          <w:i/>
        </w:rPr>
        <w:t>supr</w:t>
      </w:r>
      <w:r w:rsidR="00AF7185" w:rsidRPr="00DF1660">
        <w:rPr>
          <w:rFonts w:ascii="Times New Roman" w:hAnsi="Times New Roman" w:cs="Times New Roman"/>
          <w:i/>
        </w:rPr>
        <w:t xml:space="preserve">a </w:t>
      </w:r>
      <w:r w:rsidR="00AF7185" w:rsidRPr="00DF1660">
        <w:rPr>
          <w:rFonts w:ascii="Times New Roman" w:hAnsi="Times New Roman" w:cs="Times New Roman"/>
        </w:rPr>
        <w:t xml:space="preserve">note </w:t>
      </w:r>
      <w:r w:rsidR="007220F2">
        <w:rPr>
          <w:rFonts w:ascii="Times New Roman" w:hAnsi="Times New Roman" w:cs="Times New Roman"/>
        </w:rPr>
        <w:t>15</w:t>
      </w:r>
      <w:r w:rsidR="00AF7185" w:rsidRPr="00DF1660">
        <w:rPr>
          <w:rFonts w:ascii="Times New Roman" w:hAnsi="Times New Roman" w:cs="Times New Roman"/>
        </w:rPr>
        <w:t xml:space="preserve"> at 149.</w:t>
      </w:r>
    </w:p>
  </w:footnote>
  <w:footnote w:id="52">
    <w:p w14:paraId="44B47660" w14:textId="13CEC512" w:rsidR="007D6A93" w:rsidRPr="007220F2" w:rsidRDefault="007D6A93" w:rsidP="007220F2">
      <w:pPr>
        <w:spacing w:after="0"/>
        <w:rPr>
          <w:rFonts w:ascii="Times New Roman" w:hAnsi="Times New Roman" w:cs="Times New Roman"/>
          <w:sz w:val="20"/>
          <w:szCs w:val="20"/>
        </w:rPr>
      </w:pPr>
      <w:r w:rsidRPr="00734AF7">
        <w:rPr>
          <w:rStyle w:val="FootnoteReference"/>
          <w:rFonts w:ascii="Times New Roman" w:hAnsi="Times New Roman" w:cs="Times New Roman"/>
          <w:sz w:val="20"/>
          <w:szCs w:val="20"/>
        </w:rPr>
        <w:footnoteRef/>
      </w:r>
      <w:r w:rsidRPr="007220F2">
        <w:rPr>
          <w:rFonts w:ascii="Times New Roman" w:hAnsi="Times New Roman" w:cs="Times New Roman"/>
          <w:sz w:val="20"/>
          <w:szCs w:val="20"/>
        </w:rPr>
        <w:t xml:space="preserve"> The work of this volume stands on some important shoulders.  See for example, Spade</w:t>
      </w:r>
      <w:r w:rsidR="007220F2">
        <w:rPr>
          <w:rFonts w:ascii="Times New Roman" w:hAnsi="Times New Roman" w:cs="Times New Roman"/>
          <w:sz w:val="20"/>
          <w:szCs w:val="20"/>
        </w:rPr>
        <w:t xml:space="preserve">, </w:t>
      </w:r>
      <w:r w:rsidR="007220F2">
        <w:rPr>
          <w:rFonts w:ascii="Times New Roman" w:hAnsi="Times New Roman" w:cs="Times New Roman"/>
          <w:i/>
          <w:sz w:val="20"/>
          <w:szCs w:val="20"/>
        </w:rPr>
        <w:t>supra</w:t>
      </w:r>
      <w:r w:rsidR="007220F2">
        <w:rPr>
          <w:rFonts w:ascii="Times New Roman" w:hAnsi="Times New Roman" w:cs="Times New Roman"/>
          <w:sz w:val="20"/>
          <w:szCs w:val="20"/>
        </w:rPr>
        <w:t xml:space="preserve"> note 2</w:t>
      </w:r>
      <w:r w:rsidRPr="007220F2">
        <w:rPr>
          <w:rFonts w:ascii="Times New Roman" w:hAnsi="Times New Roman" w:cs="Times New Roman"/>
          <w:sz w:val="20"/>
          <w:szCs w:val="20"/>
        </w:rPr>
        <w:t xml:space="preserve">. </w:t>
      </w:r>
    </w:p>
  </w:footnote>
  <w:footnote w:id="53">
    <w:p w14:paraId="7B33580B" w14:textId="0A5264AC" w:rsidR="007D6A93" w:rsidRPr="007220F2" w:rsidRDefault="007D6A93" w:rsidP="007220F2">
      <w:pPr>
        <w:spacing w:after="0"/>
        <w:rPr>
          <w:rFonts w:ascii="Times New Roman" w:hAnsi="Times New Roman" w:cs="Times New Roman"/>
          <w:sz w:val="20"/>
          <w:szCs w:val="20"/>
        </w:rPr>
      </w:pPr>
      <w:r w:rsidRPr="00734AF7">
        <w:rPr>
          <w:rStyle w:val="FootnoteReference"/>
          <w:rFonts w:ascii="Times New Roman" w:hAnsi="Times New Roman" w:cs="Times New Roman"/>
          <w:sz w:val="20"/>
          <w:szCs w:val="20"/>
        </w:rPr>
        <w:footnoteRef/>
      </w:r>
      <w:r w:rsidRPr="007220F2">
        <w:rPr>
          <w:rFonts w:ascii="Times New Roman" w:hAnsi="Times New Roman" w:cs="Times New Roman"/>
          <w:sz w:val="20"/>
          <w:szCs w:val="20"/>
        </w:rPr>
        <w:t xml:space="preserve"> Singer and </w:t>
      </w:r>
      <w:proofErr w:type="spellStart"/>
      <w:r w:rsidRPr="007220F2">
        <w:rPr>
          <w:rFonts w:ascii="Times New Roman" w:hAnsi="Times New Roman" w:cs="Times New Roman"/>
          <w:sz w:val="20"/>
          <w:szCs w:val="20"/>
        </w:rPr>
        <w:t>Katri</w:t>
      </w:r>
      <w:proofErr w:type="spellEnd"/>
      <w:r w:rsidR="004E5E61" w:rsidRPr="007220F2">
        <w:rPr>
          <w:rFonts w:ascii="Times New Roman" w:hAnsi="Times New Roman" w:cs="Times New Roman"/>
          <w:sz w:val="20"/>
          <w:szCs w:val="20"/>
        </w:rPr>
        <w:t xml:space="preserve">, supra note </w:t>
      </w:r>
      <w:r w:rsidR="007220F2">
        <w:rPr>
          <w:rFonts w:ascii="Times New Roman" w:hAnsi="Times New Roman" w:cs="Times New Roman"/>
          <w:sz w:val="20"/>
          <w:szCs w:val="20"/>
        </w:rPr>
        <w:t>15</w:t>
      </w:r>
      <w:r w:rsidRPr="007220F2">
        <w:rPr>
          <w:rFonts w:ascii="Times New Roman" w:hAnsi="Times New Roman" w:cs="Times New Roman"/>
          <w:sz w:val="20"/>
          <w:szCs w:val="20"/>
        </w:rPr>
        <w:t xml:space="preserve"> at 149. </w:t>
      </w:r>
      <w:r w:rsidR="007220F2">
        <w:rPr>
          <w:rFonts w:ascii="Times New Roman" w:hAnsi="Times New Roman" w:cs="Times New Roman"/>
          <w:sz w:val="20"/>
          <w:szCs w:val="20"/>
        </w:rPr>
        <w:t>See also</w:t>
      </w:r>
      <w:r w:rsidRPr="007220F2">
        <w:rPr>
          <w:rFonts w:ascii="Times New Roman" w:hAnsi="Times New Roman" w:cs="Times New Roman"/>
          <w:sz w:val="20"/>
          <w:szCs w:val="20"/>
        </w:rPr>
        <w:t xml:space="preserve"> Sharon Cowan, “The Best Place on the Planet to be Trans? Transgender Equality and Legal Conscio</w:t>
      </w:r>
      <w:r w:rsidR="001F3084">
        <w:rPr>
          <w:rFonts w:ascii="Times New Roman" w:hAnsi="Times New Roman" w:cs="Times New Roman"/>
          <w:sz w:val="20"/>
          <w:szCs w:val="20"/>
        </w:rPr>
        <w:t>usness in Scotland” in S.</w:t>
      </w:r>
      <w:r w:rsidRPr="007220F2">
        <w:rPr>
          <w:rFonts w:ascii="Times New Roman" w:hAnsi="Times New Roman" w:cs="Times New Roman"/>
          <w:sz w:val="20"/>
          <w:szCs w:val="20"/>
        </w:rPr>
        <w:t xml:space="preserve"> Raj an</w:t>
      </w:r>
      <w:r w:rsidR="001F3084">
        <w:rPr>
          <w:rFonts w:ascii="Times New Roman" w:hAnsi="Times New Roman" w:cs="Times New Roman"/>
          <w:sz w:val="20"/>
          <w:szCs w:val="20"/>
        </w:rPr>
        <w:t>d P. Dunne (</w:t>
      </w:r>
      <w:proofErr w:type="spellStart"/>
      <w:r w:rsidR="001F3084">
        <w:rPr>
          <w:rFonts w:ascii="Times New Roman" w:hAnsi="Times New Roman" w:cs="Times New Roman"/>
          <w:sz w:val="20"/>
          <w:szCs w:val="20"/>
        </w:rPr>
        <w:t>eds</w:t>
      </w:r>
      <w:proofErr w:type="spellEnd"/>
      <w:r w:rsidR="001F3084">
        <w:rPr>
          <w:rFonts w:ascii="Times New Roman" w:hAnsi="Times New Roman" w:cs="Times New Roman"/>
          <w:sz w:val="20"/>
          <w:szCs w:val="20"/>
        </w:rPr>
        <w:t>)</w:t>
      </w:r>
      <w:r w:rsidRPr="007220F2">
        <w:rPr>
          <w:rFonts w:ascii="Times New Roman" w:hAnsi="Times New Roman" w:cs="Times New Roman"/>
          <w:sz w:val="20"/>
          <w:szCs w:val="20"/>
        </w:rPr>
        <w:t xml:space="preserve">, </w:t>
      </w:r>
      <w:r w:rsidRPr="00EF740F">
        <w:rPr>
          <w:rFonts w:ascii="Times New Roman" w:hAnsi="Times New Roman" w:cs="Times New Roman"/>
          <w:i/>
          <w:sz w:val="20"/>
          <w:szCs w:val="20"/>
        </w:rPr>
        <w:t>The Queer Outside in Law: Recognising LGBTIQ People in the United Kingdom</w:t>
      </w:r>
      <w:r w:rsidRPr="007220F2">
        <w:rPr>
          <w:rFonts w:ascii="Times New Roman" w:hAnsi="Times New Roman" w:cs="Times New Roman"/>
          <w:sz w:val="20"/>
          <w:szCs w:val="20"/>
        </w:rPr>
        <w:t xml:space="preserve"> (London: Palgrave </w:t>
      </w:r>
      <w:r w:rsidR="00EF740F">
        <w:rPr>
          <w:rFonts w:ascii="Times New Roman" w:hAnsi="Times New Roman" w:cs="Times New Roman"/>
          <w:sz w:val="20"/>
          <w:szCs w:val="20"/>
        </w:rPr>
        <w:t xml:space="preserve">Macmillan, 2021) </w:t>
      </w:r>
      <w:r w:rsidRPr="007220F2">
        <w:rPr>
          <w:rFonts w:ascii="Times New Roman" w:hAnsi="Times New Roman" w:cs="Times New Roman"/>
          <w:sz w:val="20"/>
          <w:szCs w:val="20"/>
        </w:rPr>
        <w:t>187-232 at 190.</w:t>
      </w:r>
    </w:p>
  </w:footnote>
  <w:footnote w:id="54">
    <w:p w14:paraId="7BC5926E" w14:textId="618E8E5A"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Ross, </w:t>
      </w:r>
      <w:r w:rsidRPr="00DF1660">
        <w:rPr>
          <w:rFonts w:ascii="Times New Roman" w:hAnsi="Times New Roman" w:cs="Times New Roman"/>
          <w:i/>
          <w:iCs/>
        </w:rPr>
        <w:t>supra</w:t>
      </w:r>
      <w:r w:rsidR="004E5E61" w:rsidRPr="00DF1660">
        <w:rPr>
          <w:rFonts w:ascii="Times New Roman" w:hAnsi="Times New Roman" w:cs="Times New Roman"/>
        </w:rPr>
        <w:t xml:space="preserve"> note </w:t>
      </w:r>
      <w:r w:rsidR="001F3084">
        <w:rPr>
          <w:rFonts w:ascii="Times New Roman" w:hAnsi="Times New Roman" w:cs="Times New Roman"/>
        </w:rPr>
        <w:t>16</w:t>
      </w:r>
      <w:r w:rsidRPr="00DF1660">
        <w:rPr>
          <w:rFonts w:ascii="Times New Roman" w:hAnsi="Times New Roman" w:cs="Times New Roman"/>
        </w:rPr>
        <w:t xml:space="preserve"> at 257.</w:t>
      </w:r>
    </w:p>
  </w:footnote>
  <w:footnote w:id="55">
    <w:p w14:paraId="6633A046" w14:textId="262BB851" w:rsidR="004E5E61"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004E5E61" w:rsidRPr="00DF1660">
        <w:rPr>
          <w:rFonts w:ascii="Times New Roman" w:hAnsi="Times New Roman" w:cs="Times New Roman"/>
        </w:rPr>
        <w:t xml:space="preserve"> I have taken this definition of “quotidian” from an online source: </w:t>
      </w:r>
      <w:hyperlink r:id="rId19" w:history="1">
        <w:r w:rsidR="004E5E61" w:rsidRPr="00DF1660">
          <w:rPr>
            <w:rStyle w:val="Hyperlink"/>
            <w:rFonts w:ascii="Times New Roman" w:hAnsi="Times New Roman" w:cs="Times New Roman"/>
          </w:rPr>
          <w:t>https://www.lexico.com/definition/quotidian</w:t>
        </w:r>
      </w:hyperlink>
      <w:r w:rsidR="004E5E61" w:rsidRPr="00DF1660">
        <w:rPr>
          <w:rFonts w:ascii="Times New Roman" w:hAnsi="Times New Roman" w:cs="Times New Roman"/>
        </w:rPr>
        <w:t>.</w:t>
      </w:r>
    </w:p>
  </w:footnote>
  <w:footnote w:id="56">
    <w:p w14:paraId="4FAD38E6" w14:textId="1F066142"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proofErr w:type="spellStart"/>
      <w:r w:rsidRPr="00DF1660">
        <w:rPr>
          <w:rFonts w:ascii="Times New Roman" w:hAnsi="Times New Roman" w:cs="Times New Roman"/>
        </w:rPr>
        <w:t>Pyne</w:t>
      </w:r>
      <w:proofErr w:type="spellEnd"/>
      <w:r w:rsidRPr="00DF1660">
        <w:rPr>
          <w:rFonts w:ascii="Times New Roman" w:hAnsi="Times New Roman" w:cs="Times New Roman"/>
        </w:rPr>
        <w:t xml:space="preserve">, </w:t>
      </w:r>
      <w:r w:rsidRPr="00DF1660">
        <w:rPr>
          <w:rFonts w:ascii="Times New Roman" w:hAnsi="Times New Roman" w:cs="Times New Roman"/>
          <w:i/>
          <w:iCs/>
        </w:rPr>
        <w:t xml:space="preserve">supra </w:t>
      </w:r>
      <w:r w:rsidR="004E5E61" w:rsidRPr="00DF1660">
        <w:rPr>
          <w:rFonts w:ascii="Times New Roman" w:hAnsi="Times New Roman" w:cs="Times New Roman"/>
        </w:rPr>
        <w:t xml:space="preserve">note </w:t>
      </w:r>
      <w:r w:rsidR="001F3084">
        <w:rPr>
          <w:rFonts w:ascii="Times New Roman" w:hAnsi="Times New Roman" w:cs="Times New Roman"/>
        </w:rPr>
        <w:t>25</w:t>
      </w:r>
      <w:r w:rsidRPr="00DF1660">
        <w:rPr>
          <w:rFonts w:ascii="Times New Roman" w:hAnsi="Times New Roman" w:cs="Times New Roman"/>
        </w:rPr>
        <w:t xml:space="preserve"> at 345.</w:t>
      </w:r>
    </w:p>
  </w:footnote>
  <w:footnote w:id="57">
    <w:p w14:paraId="379A4BB5" w14:textId="581A31AE" w:rsidR="001C76C7" w:rsidRPr="0014453E" w:rsidRDefault="001C76C7" w:rsidP="001C76C7">
      <w:pPr>
        <w:spacing w:after="0" w:line="240" w:lineRule="auto"/>
        <w:rPr>
          <w:rFonts w:ascii="Times New Roman" w:hAnsi="Times New Roman" w:cs="Times New Roman"/>
        </w:rPr>
      </w:pPr>
      <w:r w:rsidRPr="0014453E">
        <w:rPr>
          <w:rStyle w:val="FootnoteReference"/>
          <w:rFonts w:ascii="Times New Roman" w:hAnsi="Times New Roman" w:cs="Times New Roman"/>
          <w:sz w:val="20"/>
          <w:szCs w:val="20"/>
        </w:rPr>
        <w:footnoteRef/>
      </w:r>
      <w:r w:rsidRPr="0014453E">
        <w:rPr>
          <w:rFonts w:ascii="Times New Roman" w:hAnsi="Times New Roman" w:cs="Times New Roman"/>
          <w:sz w:val="20"/>
          <w:szCs w:val="20"/>
        </w:rPr>
        <w:t xml:space="preserve"> Cisnormativity is the assumption that having a gender identity that aligns with your sex assigned at birth is the norm and </w:t>
      </w:r>
      <w:r>
        <w:rPr>
          <w:rFonts w:ascii="Times New Roman" w:hAnsi="Times New Roman" w:cs="Times New Roman"/>
          <w:sz w:val="20"/>
          <w:szCs w:val="20"/>
        </w:rPr>
        <w:t xml:space="preserve">is </w:t>
      </w:r>
      <w:r w:rsidRPr="0014453E">
        <w:rPr>
          <w:rFonts w:ascii="Times New Roman" w:hAnsi="Times New Roman" w:cs="Times New Roman"/>
          <w:sz w:val="20"/>
          <w:szCs w:val="20"/>
        </w:rPr>
        <w:t xml:space="preserve">rightfully privileged over other forms of gender identity.  See for example: </w:t>
      </w:r>
      <w:hyperlink r:id="rId20" w:history="1">
        <w:r w:rsidRPr="0014453E">
          <w:rPr>
            <w:rStyle w:val="Hyperlink"/>
            <w:rFonts w:ascii="Times New Roman" w:hAnsi="Times New Roman" w:cs="Times New Roman"/>
            <w:sz w:val="20"/>
            <w:szCs w:val="20"/>
          </w:rPr>
          <w:t>https://www.lgbtqprimaryhub.com/heteronormativity-cisnormativity</w:t>
        </w:r>
      </w:hyperlink>
      <w:r w:rsidRPr="0014453E">
        <w:rPr>
          <w:rFonts w:ascii="Times New Roman" w:hAnsi="Times New Roman" w:cs="Times New Roman"/>
          <w:sz w:val="20"/>
          <w:szCs w:val="20"/>
        </w:rPr>
        <w:t>.</w:t>
      </w:r>
    </w:p>
  </w:footnote>
  <w:footnote w:id="58">
    <w:p w14:paraId="436CAE6A" w14:textId="7A26A075"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proofErr w:type="spellStart"/>
      <w:r w:rsidRPr="00DF1660">
        <w:rPr>
          <w:rFonts w:ascii="Times New Roman" w:hAnsi="Times New Roman" w:cs="Times New Roman"/>
        </w:rPr>
        <w:t>Baril</w:t>
      </w:r>
      <w:proofErr w:type="spellEnd"/>
      <w:r w:rsidRPr="00DF1660">
        <w:rPr>
          <w:rFonts w:ascii="Times New Roman" w:hAnsi="Times New Roman" w:cs="Times New Roman"/>
        </w:rPr>
        <w:t xml:space="preserve"> et al., </w:t>
      </w:r>
      <w:r w:rsidRPr="00DF1660">
        <w:rPr>
          <w:rFonts w:ascii="Times New Roman" w:hAnsi="Times New Roman" w:cs="Times New Roman"/>
          <w:i/>
          <w:iCs/>
        </w:rPr>
        <w:t xml:space="preserve">supra </w:t>
      </w:r>
      <w:r w:rsidR="004E5E61" w:rsidRPr="00DF1660">
        <w:rPr>
          <w:rFonts w:ascii="Times New Roman" w:hAnsi="Times New Roman" w:cs="Times New Roman"/>
        </w:rPr>
        <w:t xml:space="preserve">note </w:t>
      </w:r>
      <w:r w:rsidR="001F3084">
        <w:rPr>
          <w:rFonts w:ascii="Times New Roman" w:hAnsi="Times New Roman" w:cs="Times New Roman"/>
        </w:rPr>
        <w:t>26</w:t>
      </w:r>
      <w:r w:rsidRPr="00DF1660">
        <w:rPr>
          <w:rFonts w:ascii="Times New Roman" w:hAnsi="Times New Roman" w:cs="Times New Roman"/>
        </w:rPr>
        <w:t xml:space="preserve"> at 370.</w:t>
      </w:r>
    </w:p>
  </w:footnote>
  <w:footnote w:id="59">
    <w:p w14:paraId="3B6BF0B3" w14:textId="40225A69"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proofErr w:type="spellStart"/>
      <w:r w:rsidRPr="00DF1660">
        <w:rPr>
          <w:rFonts w:ascii="Times New Roman" w:hAnsi="Times New Roman" w:cs="Times New Roman"/>
        </w:rPr>
        <w:t>Cossman</w:t>
      </w:r>
      <w:proofErr w:type="spellEnd"/>
      <w:r w:rsidRPr="00DF1660">
        <w:rPr>
          <w:rFonts w:ascii="Times New Roman" w:hAnsi="Times New Roman" w:cs="Times New Roman"/>
        </w:rPr>
        <w:t xml:space="preserve"> and </w:t>
      </w:r>
      <w:proofErr w:type="spellStart"/>
      <w:r w:rsidRPr="00DF1660">
        <w:rPr>
          <w:rFonts w:ascii="Times New Roman" w:hAnsi="Times New Roman" w:cs="Times New Roman"/>
        </w:rPr>
        <w:t>Leckey</w:t>
      </w:r>
      <w:proofErr w:type="spellEnd"/>
      <w:r w:rsidR="004E5E61" w:rsidRPr="00DF1660">
        <w:rPr>
          <w:rFonts w:ascii="Times New Roman" w:hAnsi="Times New Roman" w:cs="Times New Roman"/>
        </w:rPr>
        <w:t xml:space="preserve">, </w:t>
      </w:r>
      <w:r w:rsidR="004E5E61" w:rsidRPr="00DF1660">
        <w:rPr>
          <w:rFonts w:ascii="Times New Roman" w:hAnsi="Times New Roman" w:cs="Times New Roman"/>
          <w:i/>
        </w:rPr>
        <w:t xml:space="preserve">supra </w:t>
      </w:r>
      <w:r w:rsidR="004E5E61" w:rsidRPr="00DF1660">
        <w:rPr>
          <w:rFonts w:ascii="Times New Roman" w:hAnsi="Times New Roman" w:cs="Times New Roman"/>
        </w:rPr>
        <w:t xml:space="preserve">note </w:t>
      </w:r>
      <w:r w:rsidR="004E5E61" w:rsidRPr="00DF1660">
        <w:rPr>
          <w:rFonts w:ascii="Times New Roman" w:hAnsi="Times New Roman" w:cs="Times New Roman"/>
        </w:rPr>
        <w:fldChar w:fldCharType="begin"/>
      </w:r>
      <w:r w:rsidR="004E5E61" w:rsidRPr="00DF1660">
        <w:rPr>
          <w:rFonts w:ascii="Times New Roman" w:hAnsi="Times New Roman" w:cs="Times New Roman"/>
        </w:rPr>
        <w:instrText xml:space="preserve"> NOTEREF _Ref65660269 \h </w:instrText>
      </w:r>
      <w:r w:rsidR="00DF1660" w:rsidRPr="00DF1660">
        <w:rPr>
          <w:rFonts w:ascii="Times New Roman" w:hAnsi="Times New Roman" w:cs="Times New Roman"/>
        </w:rPr>
        <w:instrText xml:space="preserve"> \* MERGEFORMAT </w:instrText>
      </w:r>
      <w:r w:rsidR="004E5E61" w:rsidRPr="00DF1660">
        <w:rPr>
          <w:rFonts w:ascii="Times New Roman" w:hAnsi="Times New Roman" w:cs="Times New Roman"/>
        </w:rPr>
      </w:r>
      <w:r w:rsidR="004E5E61" w:rsidRPr="00DF1660">
        <w:rPr>
          <w:rFonts w:ascii="Times New Roman" w:hAnsi="Times New Roman" w:cs="Times New Roman"/>
        </w:rPr>
        <w:fldChar w:fldCharType="separate"/>
      </w:r>
      <w:r w:rsidR="001F3084">
        <w:rPr>
          <w:rFonts w:ascii="Times New Roman" w:hAnsi="Times New Roman" w:cs="Times New Roman"/>
        </w:rPr>
        <w:t>27</w:t>
      </w:r>
      <w:r w:rsidR="004E5E61" w:rsidRPr="00DF1660">
        <w:rPr>
          <w:rFonts w:ascii="Times New Roman" w:hAnsi="Times New Roman" w:cs="Times New Roman"/>
        </w:rPr>
        <w:fldChar w:fldCharType="end"/>
      </w:r>
      <w:r w:rsidRPr="00DF1660">
        <w:rPr>
          <w:rFonts w:ascii="Times New Roman" w:hAnsi="Times New Roman" w:cs="Times New Roman"/>
        </w:rPr>
        <w:t xml:space="preserve"> at 156. </w:t>
      </w:r>
    </w:p>
  </w:footnote>
  <w:footnote w:id="60">
    <w:p w14:paraId="36FDD4DA" w14:textId="434F43CF"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Ross, </w:t>
      </w:r>
      <w:r w:rsidRPr="00DF1660">
        <w:rPr>
          <w:rFonts w:ascii="Times New Roman" w:hAnsi="Times New Roman" w:cs="Times New Roman"/>
          <w:i/>
          <w:iCs/>
        </w:rPr>
        <w:t>supra</w:t>
      </w:r>
      <w:r w:rsidRPr="00DF1660">
        <w:rPr>
          <w:rFonts w:ascii="Times New Roman" w:hAnsi="Times New Roman" w:cs="Times New Roman"/>
        </w:rPr>
        <w:t xml:space="preserve"> note </w:t>
      </w:r>
      <w:r w:rsidR="001F3084">
        <w:rPr>
          <w:rFonts w:ascii="Times New Roman" w:hAnsi="Times New Roman" w:cs="Times New Roman"/>
        </w:rPr>
        <w:t>16</w:t>
      </w:r>
      <w:r w:rsidRPr="00DF1660">
        <w:rPr>
          <w:rFonts w:ascii="Times New Roman" w:hAnsi="Times New Roman" w:cs="Times New Roman"/>
        </w:rPr>
        <w:t xml:space="preserve"> at 157.</w:t>
      </w:r>
    </w:p>
  </w:footnote>
  <w:footnote w:id="61">
    <w:p w14:paraId="42DB7029" w14:textId="7F7DF4F8"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004E5E61" w:rsidRPr="00DF1660">
        <w:rPr>
          <w:rFonts w:ascii="Times New Roman" w:hAnsi="Times New Roman" w:cs="Times New Roman"/>
        </w:rPr>
        <w:t xml:space="preserve"> Namaste and</w:t>
      </w:r>
      <w:r w:rsidRPr="00DF1660">
        <w:rPr>
          <w:rFonts w:ascii="Times New Roman" w:hAnsi="Times New Roman" w:cs="Times New Roman"/>
        </w:rPr>
        <w:t xml:space="preserve"> </w:t>
      </w:r>
      <w:proofErr w:type="spellStart"/>
      <w:r w:rsidRPr="00DF1660">
        <w:rPr>
          <w:rFonts w:ascii="Times New Roman" w:hAnsi="Times New Roman" w:cs="Times New Roman"/>
        </w:rPr>
        <w:t>Tourki</w:t>
      </w:r>
      <w:proofErr w:type="spellEnd"/>
      <w:r w:rsidRPr="00DF1660">
        <w:rPr>
          <w:rFonts w:ascii="Times New Roman" w:hAnsi="Times New Roman" w:cs="Times New Roman"/>
        </w:rPr>
        <w:t xml:space="preserve">, </w:t>
      </w:r>
      <w:r w:rsidRPr="00DF1660">
        <w:rPr>
          <w:rFonts w:ascii="Times New Roman" w:hAnsi="Times New Roman" w:cs="Times New Roman"/>
          <w:i/>
          <w:iCs/>
        </w:rPr>
        <w:t xml:space="preserve">supra </w:t>
      </w:r>
      <w:r w:rsidR="004E5E61" w:rsidRPr="00DF1660">
        <w:rPr>
          <w:rFonts w:ascii="Times New Roman" w:hAnsi="Times New Roman" w:cs="Times New Roman"/>
        </w:rPr>
        <w:t xml:space="preserve">note </w:t>
      </w:r>
      <w:r w:rsidR="001F3084">
        <w:rPr>
          <w:rFonts w:ascii="Times New Roman" w:hAnsi="Times New Roman" w:cs="Times New Roman"/>
        </w:rPr>
        <w:t>17</w:t>
      </w:r>
      <w:r w:rsidRPr="00DF1660">
        <w:rPr>
          <w:rFonts w:ascii="Times New Roman" w:hAnsi="Times New Roman" w:cs="Times New Roman"/>
        </w:rPr>
        <w:t xml:space="preserve"> at 160.</w:t>
      </w:r>
    </w:p>
  </w:footnote>
  <w:footnote w:id="62">
    <w:p w14:paraId="776A9AE0" w14:textId="0768071B"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 xml:space="preserve">Ibid </w:t>
      </w:r>
      <w:r w:rsidRPr="00DF1660">
        <w:rPr>
          <w:rFonts w:ascii="Times New Roman" w:hAnsi="Times New Roman" w:cs="Times New Roman"/>
        </w:rPr>
        <w:t>at 162.</w:t>
      </w:r>
    </w:p>
  </w:footnote>
  <w:footnote w:id="63">
    <w:p w14:paraId="2964EB3B" w14:textId="7E9BE5B2" w:rsidR="004E5E61"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004E5E61" w:rsidRPr="00DF1660">
        <w:rPr>
          <w:rFonts w:ascii="Times New Roman" w:hAnsi="Times New Roman" w:cs="Times New Roman"/>
        </w:rPr>
        <w:t xml:space="preserve"> There is a good discussion of what we mean when we talk about “Access to Justice” in these 2018 remarks given by the </w:t>
      </w:r>
      <w:r w:rsidR="001F3084">
        <w:rPr>
          <w:rFonts w:ascii="Times New Roman" w:hAnsi="Times New Roman" w:cs="Times New Roman"/>
        </w:rPr>
        <w:t>Right Honourable Richard Wagner</w:t>
      </w:r>
      <w:r w:rsidR="004E5E61" w:rsidRPr="00DF1660">
        <w:rPr>
          <w:rFonts w:ascii="Times New Roman" w:hAnsi="Times New Roman" w:cs="Times New Roman"/>
        </w:rPr>
        <w:t xml:space="preserve"> PC, Chief Justice of the Supreme Court of Canada: </w:t>
      </w:r>
      <w:hyperlink r:id="rId21" w:history="1">
        <w:r w:rsidR="004E5E61" w:rsidRPr="00DF1660">
          <w:rPr>
            <w:rStyle w:val="Hyperlink"/>
            <w:rFonts w:ascii="Times New Roman" w:hAnsi="Times New Roman" w:cs="Times New Roman"/>
          </w:rPr>
          <w:t>https://www.scc-csc.ca/judges-juges/spe-dis/rw-2018-10-04-eng.aspx?pedisable=true</w:t>
        </w:r>
      </w:hyperlink>
      <w:r w:rsidR="004E5E61" w:rsidRPr="00DF1660">
        <w:rPr>
          <w:rFonts w:ascii="Times New Roman" w:hAnsi="Times New Roman" w:cs="Times New Roman"/>
        </w:rPr>
        <w:t>.</w:t>
      </w:r>
    </w:p>
  </w:footnote>
  <w:footnote w:id="64">
    <w:p w14:paraId="3EF8ED88" w14:textId="1AB2B579"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Hébert, </w:t>
      </w:r>
      <w:r w:rsidR="004E5E61" w:rsidRPr="00DF1660">
        <w:rPr>
          <w:rFonts w:ascii="Times New Roman" w:hAnsi="Times New Roman" w:cs="Times New Roman"/>
          <w:i/>
          <w:iCs/>
        </w:rPr>
        <w:t>supra</w:t>
      </w:r>
      <w:r w:rsidR="00044E9B" w:rsidRPr="00DF1660">
        <w:rPr>
          <w:rFonts w:ascii="Times New Roman" w:hAnsi="Times New Roman" w:cs="Times New Roman"/>
          <w:iCs/>
        </w:rPr>
        <w:t xml:space="preserve"> note</w:t>
      </w:r>
      <w:r w:rsidR="001F3084">
        <w:rPr>
          <w:rFonts w:ascii="Times New Roman" w:hAnsi="Times New Roman" w:cs="Times New Roman"/>
          <w:iCs/>
        </w:rPr>
        <w:t xml:space="preserve"> 14</w:t>
      </w:r>
      <w:r w:rsidRPr="00DF1660">
        <w:rPr>
          <w:rFonts w:ascii="Times New Roman" w:hAnsi="Times New Roman" w:cs="Times New Roman"/>
        </w:rPr>
        <w:t xml:space="preserve">. </w:t>
      </w:r>
    </w:p>
  </w:footnote>
  <w:footnote w:id="65">
    <w:p w14:paraId="6EBD5F68" w14:textId="549D5AC4"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proofErr w:type="spellStart"/>
      <w:r w:rsidRPr="00DF1660">
        <w:rPr>
          <w:rFonts w:ascii="Times New Roman" w:hAnsi="Times New Roman" w:cs="Times New Roman"/>
        </w:rPr>
        <w:t>Baril</w:t>
      </w:r>
      <w:proofErr w:type="spellEnd"/>
      <w:r w:rsidRPr="00DF1660">
        <w:rPr>
          <w:rFonts w:ascii="Times New Roman" w:hAnsi="Times New Roman" w:cs="Times New Roman"/>
        </w:rPr>
        <w:t xml:space="preserve"> et al., </w:t>
      </w:r>
      <w:r w:rsidRPr="00DF1660">
        <w:rPr>
          <w:rFonts w:ascii="Times New Roman" w:hAnsi="Times New Roman" w:cs="Times New Roman"/>
          <w:i/>
          <w:iCs/>
        </w:rPr>
        <w:t xml:space="preserve">supra </w:t>
      </w:r>
      <w:r w:rsidR="004E5E61" w:rsidRPr="00DF1660">
        <w:rPr>
          <w:rFonts w:ascii="Times New Roman" w:hAnsi="Times New Roman" w:cs="Times New Roman"/>
        </w:rPr>
        <w:t>note</w:t>
      </w:r>
      <w:r w:rsidR="001F3084">
        <w:rPr>
          <w:rFonts w:ascii="Times New Roman" w:hAnsi="Times New Roman" w:cs="Times New Roman"/>
        </w:rPr>
        <w:t xml:space="preserve"> 26</w:t>
      </w:r>
      <w:r w:rsidRPr="00DF1660">
        <w:rPr>
          <w:rFonts w:ascii="Times New Roman" w:hAnsi="Times New Roman" w:cs="Times New Roman"/>
        </w:rPr>
        <w:t xml:space="preserve">. </w:t>
      </w:r>
    </w:p>
  </w:footnote>
  <w:footnote w:id="66">
    <w:p w14:paraId="72021349" w14:textId="54004E34"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proofErr w:type="spellStart"/>
      <w:r w:rsidRPr="00DF1660">
        <w:rPr>
          <w:rFonts w:ascii="Times New Roman" w:hAnsi="Times New Roman" w:cs="Times New Roman"/>
        </w:rPr>
        <w:t>Pyne</w:t>
      </w:r>
      <w:proofErr w:type="spellEnd"/>
      <w:r w:rsidRPr="00DF1660">
        <w:rPr>
          <w:rFonts w:ascii="Times New Roman" w:hAnsi="Times New Roman" w:cs="Times New Roman"/>
        </w:rPr>
        <w:t xml:space="preserve">, </w:t>
      </w:r>
      <w:r w:rsidRPr="00DF1660">
        <w:rPr>
          <w:rFonts w:ascii="Times New Roman" w:hAnsi="Times New Roman" w:cs="Times New Roman"/>
          <w:i/>
          <w:iCs/>
        </w:rPr>
        <w:t xml:space="preserve">supra </w:t>
      </w:r>
      <w:r w:rsidR="004E5E61" w:rsidRPr="00DF1660">
        <w:rPr>
          <w:rFonts w:ascii="Times New Roman" w:hAnsi="Times New Roman" w:cs="Times New Roman"/>
        </w:rPr>
        <w:t>note</w:t>
      </w:r>
      <w:r w:rsidR="001F3084">
        <w:rPr>
          <w:rFonts w:ascii="Times New Roman" w:hAnsi="Times New Roman" w:cs="Times New Roman"/>
        </w:rPr>
        <w:t xml:space="preserve"> 25</w:t>
      </w:r>
      <w:r w:rsidR="004E5E61" w:rsidRPr="00DF1660">
        <w:rPr>
          <w:rFonts w:ascii="Times New Roman" w:hAnsi="Times New Roman" w:cs="Times New Roman"/>
        </w:rPr>
        <w:t>.</w:t>
      </w:r>
    </w:p>
  </w:footnote>
  <w:footnote w:id="67">
    <w:p w14:paraId="54AAD71F" w14:textId="1A7D2F50"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Hébert, </w:t>
      </w:r>
      <w:r w:rsidRPr="00DF1660">
        <w:rPr>
          <w:rFonts w:ascii="Times New Roman" w:hAnsi="Times New Roman" w:cs="Times New Roman"/>
          <w:i/>
          <w:iCs/>
        </w:rPr>
        <w:t xml:space="preserve">supra </w:t>
      </w:r>
      <w:r w:rsidR="004E5E61" w:rsidRPr="00DF1660">
        <w:rPr>
          <w:rFonts w:ascii="Times New Roman" w:hAnsi="Times New Roman" w:cs="Times New Roman"/>
        </w:rPr>
        <w:t xml:space="preserve">note </w:t>
      </w:r>
      <w:r w:rsidR="004E5E61" w:rsidRPr="00DF1660">
        <w:rPr>
          <w:rFonts w:ascii="Times New Roman" w:hAnsi="Times New Roman" w:cs="Times New Roman"/>
        </w:rPr>
        <w:fldChar w:fldCharType="begin"/>
      </w:r>
      <w:r w:rsidR="004E5E61" w:rsidRPr="00DF1660">
        <w:rPr>
          <w:rFonts w:ascii="Times New Roman" w:hAnsi="Times New Roman" w:cs="Times New Roman"/>
        </w:rPr>
        <w:instrText xml:space="preserve"> NOTEREF _Ref65491278 \h </w:instrText>
      </w:r>
      <w:r w:rsidR="00DF1660" w:rsidRPr="00DF1660">
        <w:rPr>
          <w:rFonts w:ascii="Times New Roman" w:hAnsi="Times New Roman" w:cs="Times New Roman"/>
        </w:rPr>
        <w:instrText xml:space="preserve"> \* MERGEFORMAT </w:instrText>
      </w:r>
      <w:r w:rsidR="004E5E61" w:rsidRPr="00DF1660">
        <w:rPr>
          <w:rFonts w:ascii="Times New Roman" w:hAnsi="Times New Roman" w:cs="Times New Roman"/>
        </w:rPr>
      </w:r>
      <w:r w:rsidR="004E5E61" w:rsidRPr="00DF1660">
        <w:rPr>
          <w:rFonts w:ascii="Times New Roman" w:hAnsi="Times New Roman" w:cs="Times New Roman"/>
        </w:rPr>
        <w:fldChar w:fldCharType="separate"/>
      </w:r>
      <w:r w:rsidR="001F3084">
        <w:rPr>
          <w:rFonts w:ascii="Times New Roman" w:hAnsi="Times New Roman" w:cs="Times New Roman"/>
        </w:rPr>
        <w:t>14</w:t>
      </w:r>
      <w:r w:rsidR="004E5E61" w:rsidRPr="00DF1660">
        <w:rPr>
          <w:rFonts w:ascii="Times New Roman" w:hAnsi="Times New Roman" w:cs="Times New Roman"/>
        </w:rPr>
        <w:fldChar w:fldCharType="end"/>
      </w:r>
      <w:r w:rsidRPr="00DF1660">
        <w:rPr>
          <w:rFonts w:ascii="Times New Roman" w:hAnsi="Times New Roman" w:cs="Times New Roman"/>
        </w:rPr>
        <w:t xml:space="preserve"> at 228.</w:t>
      </w:r>
    </w:p>
  </w:footnote>
  <w:footnote w:id="68">
    <w:p w14:paraId="390BA6FD" w14:textId="7FB43228"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Ibid</w:t>
      </w:r>
      <w:r w:rsidRPr="00DF1660">
        <w:rPr>
          <w:rFonts w:ascii="Times New Roman" w:hAnsi="Times New Roman" w:cs="Times New Roman"/>
        </w:rPr>
        <w:t xml:space="preserve"> at 236.</w:t>
      </w:r>
    </w:p>
  </w:footnote>
  <w:footnote w:id="69">
    <w:p w14:paraId="0F1212E0" w14:textId="3EF52271"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Ibid</w:t>
      </w:r>
      <w:r w:rsidRPr="00DF1660">
        <w:rPr>
          <w:rFonts w:ascii="Times New Roman" w:hAnsi="Times New Roman" w:cs="Times New Roman"/>
        </w:rPr>
        <w:t xml:space="preserve"> at 227.</w:t>
      </w:r>
    </w:p>
  </w:footnote>
  <w:footnote w:id="70">
    <w:p w14:paraId="436AE27B" w14:textId="5D3710E8"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Ibid</w:t>
      </w:r>
      <w:r w:rsidRPr="00DF1660">
        <w:rPr>
          <w:rFonts w:ascii="Times New Roman" w:hAnsi="Times New Roman" w:cs="Times New Roman"/>
        </w:rPr>
        <w:t xml:space="preserve"> at 238.</w:t>
      </w:r>
    </w:p>
  </w:footnote>
  <w:footnote w:id="71">
    <w:p w14:paraId="67E1CA68" w14:textId="349104CC"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rPr>
        <w:t>Ibid.</w:t>
      </w:r>
      <w:r w:rsidRPr="00DF1660">
        <w:rPr>
          <w:rFonts w:ascii="Times New Roman" w:hAnsi="Times New Roman" w:cs="Times New Roman"/>
        </w:rPr>
        <w:t xml:space="preserve"> at 239.</w:t>
      </w:r>
    </w:p>
  </w:footnote>
  <w:footnote w:id="72">
    <w:p w14:paraId="767F70FB" w14:textId="1196314C" w:rsidR="007D6A93" w:rsidRPr="00EB1354"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proofErr w:type="spellStart"/>
      <w:r w:rsidR="00044E9B" w:rsidRPr="00DF1660">
        <w:rPr>
          <w:rFonts w:ascii="Times New Roman" w:hAnsi="Times New Roman" w:cs="Times New Roman"/>
          <w:iCs/>
        </w:rPr>
        <w:t>Baril</w:t>
      </w:r>
      <w:proofErr w:type="spellEnd"/>
      <w:r w:rsidR="00044E9B" w:rsidRPr="00DF1660">
        <w:rPr>
          <w:rFonts w:ascii="Times New Roman" w:hAnsi="Times New Roman" w:cs="Times New Roman"/>
          <w:iCs/>
        </w:rPr>
        <w:t xml:space="preserve"> et al., </w:t>
      </w:r>
      <w:r w:rsidR="00044E9B" w:rsidRPr="00DF1660">
        <w:rPr>
          <w:rFonts w:ascii="Times New Roman" w:hAnsi="Times New Roman" w:cs="Times New Roman"/>
          <w:i/>
          <w:iCs/>
        </w:rPr>
        <w:t xml:space="preserve">supra </w:t>
      </w:r>
      <w:r w:rsidR="00044E9B" w:rsidRPr="00DF1660">
        <w:rPr>
          <w:rFonts w:ascii="Times New Roman" w:hAnsi="Times New Roman" w:cs="Times New Roman"/>
          <w:iCs/>
        </w:rPr>
        <w:t>no</w:t>
      </w:r>
      <w:r w:rsidR="00044E9B" w:rsidRPr="00EB1354">
        <w:rPr>
          <w:rFonts w:ascii="Times New Roman" w:hAnsi="Times New Roman" w:cs="Times New Roman"/>
          <w:iCs/>
        </w:rPr>
        <w:t xml:space="preserve">te </w:t>
      </w:r>
      <w:r w:rsidR="00523B15">
        <w:rPr>
          <w:rFonts w:ascii="Times New Roman" w:hAnsi="Times New Roman" w:cs="Times New Roman"/>
          <w:iCs/>
        </w:rPr>
        <w:t>26</w:t>
      </w:r>
      <w:r w:rsidR="00044E9B" w:rsidRPr="00EB1354">
        <w:rPr>
          <w:rFonts w:ascii="Times New Roman" w:hAnsi="Times New Roman" w:cs="Times New Roman"/>
          <w:iCs/>
        </w:rPr>
        <w:t xml:space="preserve"> </w:t>
      </w:r>
      <w:r w:rsidRPr="00EB1354">
        <w:rPr>
          <w:rFonts w:ascii="Times New Roman" w:hAnsi="Times New Roman" w:cs="Times New Roman"/>
        </w:rPr>
        <w:t>at 370.</w:t>
      </w:r>
    </w:p>
  </w:footnote>
  <w:footnote w:id="73">
    <w:p w14:paraId="713C68DB" w14:textId="09D9FD80" w:rsidR="00903BA2" w:rsidRPr="008F6A29" w:rsidRDefault="00903BA2" w:rsidP="008F6A29">
      <w:pPr>
        <w:spacing w:after="0" w:line="240" w:lineRule="auto"/>
        <w:rPr>
          <w:rFonts w:ascii="Times New Roman" w:eastAsia="Times New Roman" w:hAnsi="Times New Roman" w:cs="Times New Roman"/>
        </w:rPr>
      </w:pPr>
      <w:r w:rsidRPr="008F6A29">
        <w:rPr>
          <w:rStyle w:val="FootnoteReference"/>
          <w:rFonts w:ascii="Times New Roman" w:hAnsi="Times New Roman" w:cs="Times New Roman"/>
          <w:sz w:val="20"/>
          <w:szCs w:val="20"/>
        </w:rPr>
        <w:footnoteRef/>
      </w:r>
      <w:r w:rsidRPr="008F6A29">
        <w:rPr>
          <w:rFonts w:ascii="Times New Roman" w:hAnsi="Times New Roman" w:cs="Times New Roman"/>
          <w:sz w:val="20"/>
          <w:szCs w:val="20"/>
        </w:rPr>
        <w:t xml:space="preserve"> </w:t>
      </w:r>
      <w:r w:rsidR="00EB1354" w:rsidRPr="008F6A29">
        <w:rPr>
          <w:rFonts w:ascii="Times New Roman" w:eastAsia="Times New Roman" w:hAnsi="Times New Roman" w:cs="Times New Roman"/>
          <w:sz w:val="20"/>
          <w:szCs w:val="20"/>
        </w:rPr>
        <w:t xml:space="preserve">Andrew King </w:t>
      </w:r>
      <w:r w:rsidRPr="008F6A29">
        <w:rPr>
          <w:rFonts w:ascii="Times New Roman" w:eastAsia="Times New Roman" w:hAnsi="Times New Roman" w:cs="Times New Roman"/>
          <w:sz w:val="20"/>
          <w:szCs w:val="20"/>
        </w:rPr>
        <w:t xml:space="preserve">coined the term “cognonormativity” to problematize the norms regarding cognitive abilities in societies that marginalize people with </w:t>
      </w:r>
      <w:r w:rsidR="00EB1354" w:rsidRPr="008F6A29">
        <w:rPr>
          <w:rFonts w:ascii="Times New Roman" w:eastAsia="Times New Roman" w:hAnsi="Times New Roman" w:cs="Times New Roman"/>
          <w:sz w:val="20"/>
          <w:szCs w:val="20"/>
        </w:rPr>
        <w:t>intellectual</w:t>
      </w:r>
      <w:r w:rsidRPr="008F6A29">
        <w:rPr>
          <w:rFonts w:ascii="Times New Roman" w:eastAsia="Times New Roman" w:hAnsi="Times New Roman" w:cs="Times New Roman"/>
          <w:sz w:val="20"/>
          <w:szCs w:val="20"/>
        </w:rPr>
        <w:t xml:space="preserve"> disabilities, including people living with dementia</w:t>
      </w:r>
      <w:r w:rsidR="00523B15">
        <w:rPr>
          <w:rFonts w:ascii="Times New Roman" w:eastAsia="Times New Roman" w:hAnsi="Times New Roman" w:cs="Times New Roman"/>
          <w:sz w:val="20"/>
          <w:szCs w:val="20"/>
        </w:rPr>
        <w:t>: “Queer(y)</w:t>
      </w:r>
      <w:proofErr w:type="spellStart"/>
      <w:r w:rsidR="00523B15">
        <w:rPr>
          <w:rFonts w:ascii="Times New Roman" w:eastAsia="Times New Roman" w:hAnsi="Times New Roman" w:cs="Times New Roman"/>
          <w:sz w:val="20"/>
          <w:szCs w:val="20"/>
        </w:rPr>
        <w:t>ing</w:t>
      </w:r>
      <w:proofErr w:type="spellEnd"/>
      <w:r w:rsidR="00523B15">
        <w:rPr>
          <w:rFonts w:ascii="Times New Roman" w:eastAsia="Times New Roman" w:hAnsi="Times New Roman" w:cs="Times New Roman"/>
          <w:sz w:val="20"/>
          <w:szCs w:val="20"/>
        </w:rPr>
        <w:t xml:space="preserve"> Dementia – Bringing Queer T</w:t>
      </w:r>
      <w:r w:rsidR="00EB1354" w:rsidRPr="008F6A29">
        <w:rPr>
          <w:rFonts w:ascii="Times New Roman" w:eastAsia="Times New Roman" w:hAnsi="Times New Roman" w:cs="Times New Roman"/>
          <w:sz w:val="20"/>
          <w:szCs w:val="20"/>
        </w:rPr>
        <w:t xml:space="preserve">heory and </w:t>
      </w:r>
      <w:r w:rsidR="00523B15">
        <w:rPr>
          <w:rFonts w:ascii="Times New Roman" w:eastAsia="Times New Roman" w:hAnsi="Times New Roman" w:cs="Times New Roman"/>
          <w:sz w:val="20"/>
          <w:szCs w:val="20"/>
        </w:rPr>
        <w:t>Studies of Dementia into Dialogue” in S. West</w:t>
      </w:r>
      <w:r w:rsidR="00FF6B41">
        <w:rPr>
          <w:rFonts w:ascii="Times New Roman" w:eastAsia="Times New Roman" w:hAnsi="Times New Roman" w:cs="Times New Roman"/>
          <w:sz w:val="20"/>
          <w:szCs w:val="20"/>
        </w:rPr>
        <w:t>w</w:t>
      </w:r>
      <w:r w:rsidR="00523B15">
        <w:rPr>
          <w:rFonts w:ascii="Times New Roman" w:eastAsia="Times New Roman" w:hAnsi="Times New Roman" w:cs="Times New Roman"/>
          <w:sz w:val="20"/>
          <w:szCs w:val="20"/>
        </w:rPr>
        <w:t>ood and E.</w:t>
      </w:r>
      <w:r w:rsidR="00EB1354" w:rsidRPr="008F6A29">
        <w:rPr>
          <w:rFonts w:ascii="Times New Roman" w:eastAsia="Times New Roman" w:hAnsi="Times New Roman" w:cs="Times New Roman"/>
          <w:sz w:val="20"/>
          <w:szCs w:val="20"/>
        </w:rPr>
        <w:t xml:space="preserve"> Price</w:t>
      </w:r>
      <w:r w:rsidR="00523B15">
        <w:rPr>
          <w:rFonts w:ascii="Times New Roman" w:eastAsia="Times New Roman" w:hAnsi="Times New Roman" w:cs="Times New Roman"/>
          <w:sz w:val="20"/>
          <w:szCs w:val="20"/>
        </w:rPr>
        <w:t xml:space="preserve"> (</w:t>
      </w:r>
      <w:proofErr w:type="spellStart"/>
      <w:r w:rsidR="00523B15">
        <w:rPr>
          <w:rFonts w:ascii="Times New Roman" w:eastAsia="Times New Roman" w:hAnsi="Times New Roman" w:cs="Times New Roman"/>
          <w:sz w:val="20"/>
          <w:szCs w:val="20"/>
        </w:rPr>
        <w:t>eds</w:t>
      </w:r>
      <w:proofErr w:type="spellEnd"/>
      <w:r w:rsidR="00523B15">
        <w:rPr>
          <w:rFonts w:ascii="Times New Roman" w:eastAsia="Times New Roman" w:hAnsi="Times New Roman" w:cs="Times New Roman"/>
          <w:sz w:val="20"/>
          <w:szCs w:val="20"/>
        </w:rPr>
        <w:t>)</w:t>
      </w:r>
      <w:r w:rsidR="00EB1354" w:rsidRPr="008F6A29">
        <w:rPr>
          <w:rFonts w:ascii="Times New Roman" w:eastAsia="Times New Roman" w:hAnsi="Times New Roman" w:cs="Times New Roman"/>
          <w:sz w:val="20"/>
          <w:szCs w:val="20"/>
        </w:rPr>
        <w:t xml:space="preserve">, </w:t>
      </w:r>
      <w:r w:rsidR="00523B15">
        <w:rPr>
          <w:rFonts w:ascii="Times New Roman" w:eastAsia="Times New Roman" w:hAnsi="Times New Roman" w:cs="Times New Roman"/>
          <w:i/>
          <w:iCs/>
          <w:sz w:val="20"/>
          <w:szCs w:val="20"/>
        </w:rPr>
        <w:t>Lesbian, G</w:t>
      </w:r>
      <w:r w:rsidR="00EB1354" w:rsidRPr="008F6A29">
        <w:rPr>
          <w:rFonts w:ascii="Times New Roman" w:eastAsia="Times New Roman" w:hAnsi="Times New Roman" w:cs="Times New Roman"/>
          <w:i/>
          <w:iCs/>
          <w:sz w:val="20"/>
          <w:szCs w:val="20"/>
        </w:rPr>
        <w:t xml:space="preserve">ay, </w:t>
      </w:r>
      <w:r w:rsidR="00523B15">
        <w:rPr>
          <w:rFonts w:ascii="Times New Roman" w:eastAsia="Times New Roman" w:hAnsi="Times New Roman" w:cs="Times New Roman"/>
          <w:i/>
          <w:iCs/>
          <w:sz w:val="20"/>
          <w:szCs w:val="20"/>
        </w:rPr>
        <w:t>B</w:t>
      </w:r>
      <w:r w:rsidR="00EB1354" w:rsidRPr="008F6A29">
        <w:rPr>
          <w:rFonts w:ascii="Times New Roman" w:eastAsia="Times New Roman" w:hAnsi="Times New Roman" w:cs="Times New Roman"/>
          <w:i/>
          <w:iCs/>
          <w:sz w:val="20"/>
          <w:szCs w:val="20"/>
        </w:rPr>
        <w:t xml:space="preserve">isexual, and </w:t>
      </w:r>
      <w:r w:rsidR="00523B15">
        <w:rPr>
          <w:rFonts w:ascii="Times New Roman" w:eastAsia="Times New Roman" w:hAnsi="Times New Roman" w:cs="Times New Roman"/>
          <w:i/>
          <w:iCs/>
          <w:sz w:val="20"/>
          <w:szCs w:val="20"/>
        </w:rPr>
        <w:t>T</w:t>
      </w:r>
      <w:r w:rsidR="00EB1354" w:rsidRPr="008F6A29">
        <w:rPr>
          <w:rFonts w:ascii="Times New Roman" w:eastAsia="Times New Roman" w:hAnsi="Times New Roman" w:cs="Times New Roman"/>
          <w:i/>
          <w:iCs/>
          <w:sz w:val="20"/>
          <w:szCs w:val="20"/>
        </w:rPr>
        <w:t xml:space="preserve">rans </w:t>
      </w:r>
      <w:r w:rsidR="00523B15">
        <w:rPr>
          <w:rFonts w:ascii="Times New Roman" w:eastAsia="Times New Roman" w:hAnsi="Times New Roman" w:cs="Times New Roman"/>
          <w:i/>
          <w:iCs/>
          <w:sz w:val="20"/>
          <w:szCs w:val="20"/>
        </w:rPr>
        <w:t>I</w:t>
      </w:r>
      <w:r w:rsidR="00EB1354" w:rsidRPr="008F6A29">
        <w:rPr>
          <w:rFonts w:ascii="Times New Roman" w:eastAsia="Times New Roman" w:hAnsi="Times New Roman" w:cs="Times New Roman"/>
          <w:i/>
          <w:iCs/>
          <w:sz w:val="20"/>
          <w:szCs w:val="20"/>
        </w:rPr>
        <w:t xml:space="preserve">ndividuals </w:t>
      </w:r>
      <w:r w:rsidR="00523B15">
        <w:rPr>
          <w:rFonts w:ascii="Times New Roman" w:eastAsia="Times New Roman" w:hAnsi="Times New Roman" w:cs="Times New Roman"/>
          <w:i/>
          <w:iCs/>
          <w:sz w:val="20"/>
          <w:szCs w:val="20"/>
        </w:rPr>
        <w:t>Living with D</w:t>
      </w:r>
      <w:r w:rsidR="00EB1354" w:rsidRPr="008F6A29">
        <w:rPr>
          <w:rFonts w:ascii="Times New Roman" w:eastAsia="Times New Roman" w:hAnsi="Times New Roman" w:cs="Times New Roman"/>
          <w:i/>
          <w:iCs/>
          <w:sz w:val="20"/>
          <w:szCs w:val="20"/>
        </w:rPr>
        <w:t>ementia. Concept</w:t>
      </w:r>
      <w:r w:rsidR="00523B15">
        <w:rPr>
          <w:rFonts w:ascii="Times New Roman" w:eastAsia="Times New Roman" w:hAnsi="Times New Roman" w:cs="Times New Roman"/>
          <w:i/>
          <w:iCs/>
          <w:sz w:val="20"/>
          <w:szCs w:val="20"/>
        </w:rPr>
        <w:t>s, Practice and R</w:t>
      </w:r>
      <w:r w:rsidR="00EB1354" w:rsidRPr="008F6A29">
        <w:rPr>
          <w:rFonts w:ascii="Times New Roman" w:eastAsia="Times New Roman" w:hAnsi="Times New Roman" w:cs="Times New Roman"/>
          <w:i/>
          <w:iCs/>
          <w:sz w:val="20"/>
          <w:szCs w:val="20"/>
        </w:rPr>
        <w:t>ights</w:t>
      </w:r>
      <w:r w:rsidR="00EB1354" w:rsidRPr="008F6A29">
        <w:rPr>
          <w:rFonts w:ascii="Times New Roman" w:eastAsia="Times New Roman" w:hAnsi="Times New Roman" w:cs="Times New Roman"/>
          <w:sz w:val="20"/>
          <w:szCs w:val="20"/>
        </w:rPr>
        <w:t xml:space="preserve"> (Abingdon: Routledge, 2016) 51-64 at 59.</w:t>
      </w:r>
    </w:p>
  </w:footnote>
  <w:footnote w:id="74">
    <w:p w14:paraId="121E4765" w14:textId="611C8A3F" w:rsidR="007D6A93" w:rsidRPr="00EB1354" w:rsidRDefault="007D6A93" w:rsidP="00EB1354">
      <w:pPr>
        <w:pStyle w:val="FootnoteText"/>
        <w:rPr>
          <w:rFonts w:ascii="Times New Roman" w:hAnsi="Times New Roman" w:cs="Times New Roman"/>
          <w:b/>
        </w:rPr>
      </w:pPr>
      <w:r w:rsidRPr="00EB1354">
        <w:rPr>
          <w:rStyle w:val="FootnoteReference"/>
          <w:rFonts w:ascii="Times New Roman" w:hAnsi="Times New Roman" w:cs="Times New Roman"/>
        </w:rPr>
        <w:footnoteRef/>
      </w:r>
      <w:r w:rsidRPr="00EB1354">
        <w:rPr>
          <w:rFonts w:ascii="Times New Roman" w:hAnsi="Times New Roman" w:cs="Times New Roman"/>
        </w:rPr>
        <w:t xml:space="preserve"> </w:t>
      </w:r>
      <w:proofErr w:type="spellStart"/>
      <w:r w:rsidR="00FF6B41">
        <w:rPr>
          <w:rFonts w:ascii="Times New Roman" w:hAnsi="Times New Roman" w:cs="Times New Roman"/>
        </w:rPr>
        <w:t>Baril</w:t>
      </w:r>
      <w:proofErr w:type="spellEnd"/>
      <w:r w:rsidR="00FF6B41">
        <w:rPr>
          <w:rFonts w:ascii="Times New Roman" w:hAnsi="Times New Roman" w:cs="Times New Roman"/>
        </w:rPr>
        <w:t xml:space="preserve"> et al., </w:t>
      </w:r>
      <w:r w:rsidR="00FF6B41">
        <w:rPr>
          <w:rFonts w:ascii="Times New Roman" w:hAnsi="Times New Roman" w:cs="Times New Roman"/>
          <w:i/>
        </w:rPr>
        <w:t>supra</w:t>
      </w:r>
      <w:r w:rsidR="00FF6B41">
        <w:rPr>
          <w:rFonts w:ascii="Times New Roman" w:hAnsi="Times New Roman" w:cs="Times New Roman"/>
        </w:rPr>
        <w:t xml:space="preserve"> note 26</w:t>
      </w:r>
      <w:r w:rsidRPr="00EB1354">
        <w:rPr>
          <w:rFonts w:ascii="Times New Roman" w:hAnsi="Times New Roman" w:cs="Times New Roman"/>
        </w:rPr>
        <w:t xml:space="preserve"> at 377.</w:t>
      </w:r>
    </w:p>
  </w:footnote>
  <w:footnote w:id="75">
    <w:p w14:paraId="2EA5AB0F" w14:textId="61179E47"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Ibid</w:t>
      </w:r>
      <w:r w:rsidRPr="00DF1660">
        <w:rPr>
          <w:rFonts w:ascii="Times New Roman" w:hAnsi="Times New Roman" w:cs="Times New Roman"/>
        </w:rPr>
        <w:t xml:space="preserve"> at 378.</w:t>
      </w:r>
    </w:p>
  </w:footnote>
  <w:footnote w:id="76">
    <w:p w14:paraId="24A02F39" w14:textId="621FF889" w:rsidR="007D6A93" w:rsidRPr="00DF1660" w:rsidRDefault="007D6A93">
      <w:pPr>
        <w:pStyle w:val="FootnoteText"/>
        <w:rPr>
          <w:rFonts w:ascii="Times New Roman" w:hAnsi="Times New Roman" w:cs="Times New Roman"/>
          <w:b/>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Ibid</w:t>
      </w:r>
      <w:r w:rsidRPr="00DF1660">
        <w:rPr>
          <w:rFonts w:ascii="Times New Roman" w:hAnsi="Times New Roman" w:cs="Times New Roman"/>
        </w:rPr>
        <w:t xml:space="preserve"> at 382.</w:t>
      </w:r>
    </w:p>
  </w:footnote>
  <w:footnote w:id="77">
    <w:p w14:paraId="015E08A3" w14:textId="4DAF647E" w:rsidR="00044E9B" w:rsidRPr="00DF1660" w:rsidRDefault="007D6A93" w:rsidP="00044E9B">
      <w:pPr>
        <w:autoSpaceDE w:val="0"/>
        <w:autoSpaceDN w:val="0"/>
        <w:adjustRightInd w:val="0"/>
        <w:spacing w:after="0" w:line="240" w:lineRule="auto"/>
        <w:rPr>
          <w:rFonts w:ascii="Times New Roman" w:hAnsi="Times New Roman" w:cs="Times New Roman"/>
          <w:sz w:val="20"/>
          <w:szCs w:val="20"/>
        </w:rPr>
      </w:pPr>
      <w:r w:rsidRPr="00DF1660">
        <w:rPr>
          <w:rStyle w:val="FootnoteReference"/>
          <w:rFonts w:ascii="Times New Roman" w:hAnsi="Times New Roman" w:cs="Times New Roman"/>
          <w:sz w:val="20"/>
          <w:szCs w:val="20"/>
        </w:rPr>
        <w:footnoteRef/>
      </w:r>
      <w:r w:rsidRPr="00DF1660">
        <w:rPr>
          <w:rFonts w:ascii="Times New Roman" w:hAnsi="Times New Roman" w:cs="Times New Roman"/>
          <w:sz w:val="20"/>
          <w:szCs w:val="20"/>
        </w:rPr>
        <w:t xml:space="preserve"> </w:t>
      </w:r>
      <w:r w:rsidRPr="00DF1660">
        <w:rPr>
          <w:rFonts w:ascii="Times New Roman" w:hAnsi="Times New Roman" w:cs="Times New Roman"/>
          <w:i/>
          <w:iCs/>
          <w:sz w:val="20"/>
          <w:szCs w:val="20"/>
        </w:rPr>
        <w:t>Ibid</w:t>
      </w:r>
      <w:r w:rsidRPr="00DF1660">
        <w:rPr>
          <w:rFonts w:ascii="Times New Roman" w:hAnsi="Times New Roman" w:cs="Times New Roman"/>
          <w:sz w:val="20"/>
          <w:szCs w:val="20"/>
        </w:rPr>
        <w:t xml:space="preserve"> at</w:t>
      </w:r>
      <w:r w:rsidR="00044E9B" w:rsidRPr="00DF1660">
        <w:rPr>
          <w:rFonts w:ascii="Times New Roman" w:hAnsi="Times New Roman" w:cs="Times New Roman"/>
          <w:sz w:val="20"/>
          <w:szCs w:val="20"/>
        </w:rPr>
        <w:t xml:space="preserve"> 381, citing Eli Clare, </w:t>
      </w:r>
      <w:r w:rsidR="00FF6B41">
        <w:rPr>
          <w:rFonts w:ascii="Times New Roman" w:hAnsi="Times New Roman" w:cs="Times New Roman"/>
          <w:i/>
          <w:sz w:val="20"/>
          <w:szCs w:val="20"/>
        </w:rPr>
        <w:t>Exile &amp; Pride: Disability, Queerness and L</w:t>
      </w:r>
      <w:r w:rsidR="00044E9B" w:rsidRPr="00DF1660">
        <w:rPr>
          <w:rFonts w:ascii="Times New Roman" w:hAnsi="Times New Roman" w:cs="Times New Roman"/>
          <w:i/>
          <w:sz w:val="20"/>
          <w:szCs w:val="20"/>
        </w:rPr>
        <w:t>iberation</w:t>
      </w:r>
      <w:r w:rsidR="00044E9B" w:rsidRPr="00DF1660">
        <w:rPr>
          <w:rFonts w:ascii="Times New Roman" w:hAnsi="Times New Roman" w:cs="Times New Roman"/>
          <w:sz w:val="20"/>
          <w:szCs w:val="20"/>
        </w:rPr>
        <w:t>, 2nd ed. (New York: South</w:t>
      </w:r>
    </w:p>
    <w:p w14:paraId="30407034" w14:textId="269C05D0" w:rsidR="007D6A93" w:rsidRPr="00DF1660" w:rsidRDefault="00044E9B" w:rsidP="00044E9B">
      <w:pPr>
        <w:pStyle w:val="FootnoteText"/>
        <w:rPr>
          <w:rFonts w:ascii="Times New Roman" w:hAnsi="Times New Roman" w:cs="Times New Roman"/>
        </w:rPr>
      </w:pPr>
      <w:r w:rsidRPr="00DF1660">
        <w:rPr>
          <w:rFonts w:ascii="Times New Roman" w:hAnsi="Times New Roman" w:cs="Times New Roman"/>
        </w:rPr>
        <w:t>End Press, 2009).</w:t>
      </w:r>
    </w:p>
  </w:footnote>
  <w:footnote w:id="78">
    <w:p w14:paraId="331D5435" w14:textId="41D9B396"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proofErr w:type="spellStart"/>
      <w:r w:rsidRPr="00DF1660">
        <w:rPr>
          <w:rFonts w:ascii="Times New Roman" w:hAnsi="Times New Roman" w:cs="Times New Roman"/>
        </w:rPr>
        <w:t>Pyne</w:t>
      </w:r>
      <w:proofErr w:type="spellEnd"/>
      <w:r w:rsidRPr="00DF1660">
        <w:rPr>
          <w:rFonts w:ascii="Times New Roman" w:hAnsi="Times New Roman" w:cs="Times New Roman"/>
        </w:rPr>
        <w:t xml:space="preserve">, </w:t>
      </w:r>
      <w:r w:rsidRPr="00DF1660">
        <w:rPr>
          <w:rFonts w:ascii="Times New Roman" w:hAnsi="Times New Roman" w:cs="Times New Roman"/>
          <w:i/>
          <w:iCs/>
        </w:rPr>
        <w:t xml:space="preserve">supra </w:t>
      </w:r>
      <w:r w:rsidR="006E3686" w:rsidRPr="00DF1660">
        <w:rPr>
          <w:rFonts w:ascii="Times New Roman" w:hAnsi="Times New Roman" w:cs="Times New Roman"/>
        </w:rPr>
        <w:t xml:space="preserve">note </w:t>
      </w:r>
      <w:r w:rsidR="00B36CDA">
        <w:rPr>
          <w:rFonts w:ascii="Times New Roman" w:hAnsi="Times New Roman" w:cs="Times New Roman"/>
        </w:rPr>
        <w:t>25</w:t>
      </w:r>
      <w:r w:rsidRPr="00DF1660">
        <w:rPr>
          <w:rFonts w:ascii="Times New Roman" w:hAnsi="Times New Roman" w:cs="Times New Roman"/>
        </w:rPr>
        <w:t xml:space="preserve"> at 341.</w:t>
      </w:r>
    </w:p>
  </w:footnote>
  <w:footnote w:id="79">
    <w:p w14:paraId="15DEBBFD" w14:textId="41FD6EB5" w:rsidR="007D6A93" w:rsidRPr="00DF1660" w:rsidRDefault="007D6A93" w:rsidP="00AC2A9B">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002558A4" w:rsidRPr="00DF1660">
        <w:rPr>
          <w:rFonts w:ascii="Times New Roman" w:hAnsi="Times New Roman" w:cs="Times New Roman"/>
        </w:rPr>
        <w:t xml:space="preserve">Bill 77, </w:t>
      </w:r>
      <w:r w:rsidR="002558A4" w:rsidRPr="00DF1660">
        <w:rPr>
          <w:rFonts w:ascii="Times New Roman" w:hAnsi="Times New Roman" w:cs="Times New Roman"/>
          <w:i/>
        </w:rPr>
        <w:t xml:space="preserve">supra </w:t>
      </w:r>
      <w:r w:rsidR="002558A4" w:rsidRPr="00DF1660">
        <w:rPr>
          <w:rFonts w:ascii="Times New Roman" w:hAnsi="Times New Roman" w:cs="Times New Roman"/>
        </w:rPr>
        <w:t>note</w:t>
      </w:r>
      <w:r w:rsidR="00B36CDA">
        <w:rPr>
          <w:rFonts w:ascii="Times New Roman" w:hAnsi="Times New Roman" w:cs="Times New Roman"/>
        </w:rPr>
        <w:t xml:space="preserve"> 4</w:t>
      </w:r>
      <w:r w:rsidR="002558A4" w:rsidRPr="00DF1660">
        <w:rPr>
          <w:rFonts w:ascii="Times New Roman" w:hAnsi="Times New Roman" w:cs="Times New Roman"/>
        </w:rPr>
        <w:t>.</w:t>
      </w:r>
    </w:p>
  </w:footnote>
  <w:footnote w:id="80">
    <w:p w14:paraId="270B71E0" w14:textId="0FDEA095" w:rsidR="007D6A93" w:rsidRPr="00DF1660" w:rsidRDefault="007D6A93" w:rsidP="001D4105">
      <w:pPr>
        <w:pStyle w:val="test-locationinconferenceproceeding"/>
        <w:shd w:val="clear" w:color="auto" w:fill="FCFCFC"/>
        <w:spacing w:before="0" w:beforeAutospacing="0" w:after="0" w:afterAutospacing="0"/>
        <w:rPr>
          <w:color w:val="333333"/>
          <w:spacing w:val="2"/>
          <w:sz w:val="20"/>
          <w:szCs w:val="20"/>
        </w:rPr>
      </w:pPr>
      <w:r w:rsidRPr="00DF1660">
        <w:rPr>
          <w:rStyle w:val="page-numbers-info"/>
          <w:sz w:val="20"/>
          <w:szCs w:val="20"/>
        </w:rPr>
        <w:footnoteRef/>
      </w:r>
      <w:r w:rsidRPr="00DF1660">
        <w:rPr>
          <w:sz w:val="20"/>
          <w:szCs w:val="20"/>
        </w:rPr>
        <w:t xml:space="preserve"> For a discussion of the depathologization movement, and a reimagination of the human rights framework withi</w:t>
      </w:r>
      <w:r w:rsidR="00B36CDA">
        <w:rPr>
          <w:sz w:val="20"/>
          <w:szCs w:val="20"/>
        </w:rPr>
        <w:t>n the work of vulnerability, see</w:t>
      </w:r>
      <w:r w:rsidRPr="00DF1660">
        <w:rPr>
          <w:sz w:val="20"/>
          <w:szCs w:val="20"/>
        </w:rPr>
        <w:t xml:space="preserve"> Chris Dietz and Ruth Pearce, “Depathologising Gender: Vulnerabili</w:t>
      </w:r>
      <w:r w:rsidR="00B36CDA">
        <w:rPr>
          <w:sz w:val="20"/>
          <w:szCs w:val="20"/>
        </w:rPr>
        <w:t>ty in Trans Health Law” in C. Dietz, M. Travis and M. Thomson (</w:t>
      </w:r>
      <w:proofErr w:type="spellStart"/>
      <w:r w:rsidR="00B36CDA">
        <w:rPr>
          <w:sz w:val="20"/>
          <w:szCs w:val="20"/>
        </w:rPr>
        <w:t>eds</w:t>
      </w:r>
      <w:proofErr w:type="spellEnd"/>
      <w:r w:rsidR="00B36CDA">
        <w:rPr>
          <w:sz w:val="20"/>
          <w:szCs w:val="20"/>
        </w:rPr>
        <w:t>)</w:t>
      </w:r>
      <w:r w:rsidRPr="00DF1660">
        <w:rPr>
          <w:sz w:val="20"/>
          <w:szCs w:val="20"/>
        </w:rPr>
        <w:t xml:space="preserve">, </w:t>
      </w:r>
      <w:r w:rsidRPr="00DF1660">
        <w:rPr>
          <w:i/>
          <w:sz w:val="20"/>
          <w:szCs w:val="20"/>
        </w:rPr>
        <w:t>A Jurisprudence of the Body</w:t>
      </w:r>
      <w:r w:rsidRPr="00DF1660">
        <w:rPr>
          <w:sz w:val="20"/>
          <w:szCs w:val="20"/>
        </w:rPr>
        <w:t xml:space="preserve"> (London: Palgrave </w:t>
      </w:r>
      <w:r w:rsidR="00B36CDA">
        <w:rPr>
          <w:sz w:val="20"/>
          <w:szCs w:val="20"/>
        </w:rPr>
        <w:t xml:space="preserve">Macmillan, 2020), </w:t>
      </w:r>
      <w:r w:rsidRPr="00DF1660">
        <w:rPr>
          <w:sz w:val="20"/>
          <w:szCs w:val="20"/>
        </w:rPr>
        <w:t>179-203.</w:t>
      </w:r>
      <w:r w:rsidRPr="00DF1660">
        <w:rPr>
          <w:color w:val="333333"/>
          <w:spacing w:val="2"/>
          <w:sz w:val="20"/>
          <w:szCs w:val="20"/>
        </w:rPr>
        <w:t xml:space="preserve"> </w:t>
      </w:r>
    </w:p>
  </w:footnote>
  <w:footnote w:id="81">
    <w:p w14:paraId="7A023D76" w14:textId="3ACA73A6"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proofErr w:type="spellStart"/>
      <w:r w:rsidRPr="00DF1660">
        <w:rPr>
          <w:rFonts w:ascii="Times New Roman" w:hAnsi="Times New Roman" w:cs="Times New Roman"/>
        </w:rPr>
        <w:t>Pyne</w:t>
      </w:r>
      <w:proofErr w:type="spellEnd"/>
      <w:r w:rsidRPr="00DF1660">
        <w:rPr>
          <w:rFonts w:ascii="Times New Roman" w:hAnsi="Times New Roman" w:cs="Times New Roman"/>
        </w:rPr>
        <w:t xml:space="preserve">, </w:t>
      </w:r>
      <w:r w:rsidRPr="00DF1660">
        <w:rPr>
          <w:rFonts w:ascii="Times New Roman" w:hAnsi="Times New Roman" w:cs="Times New Roman"/>
          <w:i/>
          <w:iCs/>
        </w:rPr>
        <w:t xml:space="preserve">supra </w:t>
      </w:r>
      <w:r w:rsidR="002558A4" w:rsidRPr="00DF1660">
        <w:rPr>
          <w:rFonts w:ascii="Times New Roman" w:hAnsi="Times New Roman" w:cs="Times New Roman"/>
        </w:rPr>
        <w:t xml:space="preserve">note </w:t>
      </w:r>
      <w:r w:rsidR="00B36CDA">
        <w:rPr>
          <w:rFonts w:ascii="Times New Roman" w:hAnsi="Times New Roman" w:cs="Times New Roman"/>
        </w:rPr>
        <w:t>25</w:t>
      </w:r>
      <w:r w:rsidRPr="00DF1660">
        <w:rPr>
          <w:rFonts w:ascii="Times New Roman" w:hAnsi="Times New Roman" w:cs="Times New Roman"/>
        </w:rPr>
        <w:t xml:space="preserve"> at 343.</w:t>
      </w:r>
    </w:p>
  </w:footnote>
  <w:footnote w:id="82">
    <w:p w14:paraId="42FCC9D5" w14:textId="2B6F2106"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 xml:space="preserve">Ibid. </w:t>
      </w:r>
    </w:p>
  </w:footnote>
  <w:footnote w:id="83">
    <w:p w14:paraId="5EA3A696" w14:textId="3E5EA017"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002558A4" w:rsidRPr="00DF1660">
        <w:rPr>
          <w:rFonts w:ascii="Times New Roman" w:hAnsi="Times New Roman" w:cs="Times New Roman"/>
          <w:i/>
        </w:rPr>
        <w:t xml:space="preserve">Ibid. </w:t>
      </w:r>
      <w:r w:rsidR="002558A4" w:rsidRPr="00DF1660">
        <w:rPr>
          <w:rFonts w:ascii="Times New Roman" w:hAnsi="Times New Roman" w:cs="Times New Roman"/>
        </w:rPr>
        <w:t>at 342.</w:t>
      </w:r>
    </w:p>
  </w:footnote>
  <w:footnote w:id="84">
    <w:p w14:paraId="76D7D4DB" w14:textId="6152AF4E"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Ibid</w:t>
      </w:r>
      <w:r w:rsidRPr="00DF1660">
        <w:rPr>
          <w:rFonts w:ascii="Times New Roman" w:hAnsi="Times New Roman" w:cs="Times New Roman"/>
        </w:rPr>
        <w:t xml:space="preserve"> at 358.</w:t>
      </w:r>
    </w:p>
  </w:footnote>
  <w:footnote w:id="85">
    <w:p w14:paraId="510DC5A7" w14:textId="4AAE8284"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proofErr w:type="spellStart"/>
      <w:r w:rsidRPr="00DF1660">
        <w:rPr>
          <w:rFonts w:ascii="Times New Roman" w:hAnsi="Times New Roman" w:cs="Times New Roman"/>
        </w:rPr>
        <w:t>Cossman</w:t>
      </w:r>
      <w:proofErr w:type="spellEnd"/>
      <w:r w:rsidRPr="00DF1660">
        <w:rPr>
          <w:rFonts w:ascii="Times New Roman" w:hAnsi="Times New Roman" w:cs="Times New Roman"/>
        </w:rPr>
        <w:t xml:space="preserve"> and </w:t>
      </w:r>
      <w:proofErr w:type="spellStart"/>
      <w:r w:rsidRPr="00DF1660">
        <w:rPr>
          <w:rFonts w:ascii="Times New Roman" w:hAnsi="Times New Roman" w:cs="Times New Roman"/>
        </w:rPr>
        <w:t>Leckey</w:t>
      </w:r>
      <w:proofErr w:type="spellEnd"/>
      <w:r w:rsidR="002558A4" w:rsidRPr="00DF1660">
        <w:rPr>
          <w:rFonts w:ascii="Times New Roman" w:hAnsi="Times New Roman" w:cs="Times New Roman"/>
        </w:rPr>
        <w:t xml:space="preserve">, </w:t>
      </w:r>
      <w:r w:rsidR="002558A4" w:rsidRPr="00DF1660">
        <w:rPr>
          <w:rFonts w:ascii="Times New Roman" w:hAnsi="Times New Roman" w:cs="Times New Roman"/>
          <w:i/>
        </w:rPr>
        <w:t xml:space="preserve">supra </w:t>
      </w:r>
      <w:r w:rsidR="002558A4" w:rsidRPr="00DF1660">
        <w:rPr>
          <w:rFonts w:ascii="Times New Roman" w:hAnsi="Times New Roman" w:cs="Times New Roman"/>
        </w:rPr>
        <w:t xml:space="preserve">note </w:t>
      </w:r>
      <w:r w:rsidR="004E2255">
        <w:rPr>
          <w:rFonts w:ascii="Times New Roman" w:hAnsi="Times New Roman" w:cs="Times New Roman"/>
        </w:rPr>
        <w:t>27</w:t>
      </w:r>
      <w:r w:rsidRPr="00DF1660">
        <w:rPr>
          <w:rFonts w:ascii="Times New Roman" w:hAnsi="Times New Roman" w:cs="Times New Roman"/>
        </w:rPr>
        <w:t xml:space="preserve"> at 155.</w:t>
      </w:r>
    </w:p>
  </w:footnote>
  <w:footnote w:id="86">
    <w:p w14:paraId="72A2E9E9" w14:textId="1062E63D" w:rsidR="002558A4"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002558A4" w:rsidRPr="00DF1660">
        <w:rPr>
          <w:rFonts w:ascii="Times New Roman" w:hAnsi="Times New Roman" w:cs="Times New Roman"/>
        </w:rPr>
        <w:t xml:space="preserve"> I have taken this definition of dispersed from an online source: </w:t>
      </w:r>
      <w:hyperlink r:id="rId22" w:history="1">
        <w:r w:rsidR="002558A4" w:rsidRPr="00DF1660">
          <w:rPr>
            <w:rStyle w:val="Hyperlink"/>
            <w:rFonts w:ascii="Times New Roman" w:hAnsi="Times New Roman" w:cs="Times New Roman"/>
          </w:rPr>
          <w:t>https://www.vocabulary.com/dictionary/disperse</w:t>
        </w:r>
      </w:hyperlink>
      <w:r w:rsidR="002558A4" w:rsidRPr="00DF1660">
        <w:rPr>
          <w:rFonts w:ascii="Times New Roman" w:hAnsi="Times New Roman" w:cs="Times New Roman"/>
        </w:rPr>
        <w:t>.</w:t>
      </w:r>
    </w:p>
  </w:footnote>
  <w:footnote w:id="87">
    <w:p w14:paraId="5EDC6B7C" w14:textId="7DF82A4B"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002558A4" w:rsidRPr="00DF1660">
        <w:rPr>
          <w:rFonts w:ascii="Times New Roman" w:hAnsi="Times New Roman" w:cs="Times New Roman"/>
        </w:rPr>
        <w:t xml:space="preserve"> Irving and</w:t>
      </w:r>
      <w:r w:rsidRPr="00DF1660">
        <w:rPr>
          <w:rFonts w:ascii="Times New Roman" w:hAnsi="Times New Roman" w:cs="Times New Roman"/>
        </w:rPr>
        <w:t xml:space="preserve"> </w:t>
      </w:r>
      <w:proofErr w:type="spellStart"/>
      <w:r w:rsidRPr="00DF1660">
        <w:rPr>
          <w:rFonts w:ascii="Times New Roman" w:hAnsi="Times New Roman" w:cs="Times New Roman"/>
        </w:rPr>
        <w:t>Hoo</w:t>
      </w:r>
      <w:proofErr w:type="spellEnd"/>
      <w:r w:rsidRPr="00DF1660">
        <w:rPr>
          <w:rFonts w:ascii="Times New Roman" w:hAnsi="Times New Roman" w:cs="Times New Roman"/>
        </w:rPr>
        <w:t xml:space="preserve">, </w:t>
      </w:r>
      <w:r w:rsidRPr="00DF1660">
        <w:rPr>
          <w:rFonts w:ascii="Times New Roman" w:hAnsi="Times New Roman" w:cs="Times New Roman"/>
          <w:i/>
          <w:iCs/>
        </w:rPr>
        <w:t xml:space="preserve">supra </w:t>
      </w:r>
      <w:r w:rsidR="002558A4" w:rsidRPr="00DF1660">
        <w:rPr>
          <w:rFonts w:ascii="Times New Roman" w:hAnsi="Times New Roman" w:cs="Times New Roman"/>
        </w:rPr>
        <w:t xml:space="preserve">note </w:t>
      </w:r>
      <w:r w:rsidR="004E2255">
        <w:rPr>
          <w:rFonts w:ascii="Times New Roman" w:hAnsi="Times New Roman" w:cs="Times New Roman"/>
        </w:rPr>
        <w:t>18</w:t>
      </w:r>
      <w:r w:rsidRPr="00DF1660">
        <w:rPr>
          <w:rFonts w:ascii="Times New Roman" w:hAnsi="Times New Roman" w:cs="Times New Roman"/>
        </w:rPr>
        <w:t xml:space="preserve"> at 204.</w:t>
      </w:r>
    </w:p>
  </w:footnote>
  <w:footnote w:id="88">
    <w:p w14:paraId="491464D0" w14:textId="20BCF4CF"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Ibid</w:t>
      </w:r>
      <w:r w:rsidRPr="00DF1660">
        <w:rPr>
          <w:rFonts w:ascii="Times New Roman" w:hAnsi="Times New Roman" w:cs="Times New Roman"/>
        </w:rPr>
        <w:t xml:space="preserve"> at 211.</w:t>
      </w:r>
    </w:p>
  </w:footnote>
  <w:footnote w:id="89">
    <w:p w14:paraId="2E6C6790" w14:textId="0C087F98"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Ibid</w:t>
      </w:r>
      <w:r w:rsidRPr="00DF1660">
        <w:rPr>
          <w:rFonts w:ascii="Times New Roman" w:hAnsi="Times New Roman" w:cs="Times New Roman"/>
        </w:rPr>
        <w:t xml:space="preserve"> at 209.</w:t>
      </w:r>
    </w:p>
  </w:footnote>
  <w:footnote w:id="90">
    <w:p w14:paraId="0FCDDDA7" w14:textId="3D13AE41"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Ibid</w:t>
      </w:r>
      <w:r w:rsidRPr="00DF1660">
        <w:rPr>
          <w:rFonts w:ascii="Times New Roman" w:hAnsi="Times New Roman" w:cs="Times New Roman"/>
        </w:rPr>
        <w:t xml:space="preserve"> at 219.</w:t>
      </w:r>
    </w:p>
  </w:footnote>
  <w:footnote w:id="91">
    <w:p w14:paraId="458846B0" w14:textId="7C8B40C6" w:rsidR="007D6A93" w:rsidRPr="00DF1660" w:rsidRDefault="007D6A93" w:rsidP="00B2123E">
      <w:pPr>
        <w:autoSpaceDE w:val="0"/>
        <w:autoSpaceDN w:val="0"/>
        <w:adjustRightInd w:val="0"/>
        <w:spacing w:after="0" w:line="240" w:lineRule="auto"/>
        <w:rPr>
          <w:rFonts w:ascii="Times New Roman" w:hAnsi="Times New Roman" w:cs="Times New Roman"/>
          <w:sz w:val="20"/>
          <w:szCs w:val="20"/>
        </w:rPr>
      </w:pPr>
      <w:r w:rsidRPr="00DF1660">
        <w:rPr>
          <w:rStyle w:val="FootnoteReference"/>
          <w:rFonts w:ascii="Times New Roman" w:hAnsi="Times New Roman" w:cs="Times New Roman"/>
          <w:sz w:val="20"/>
          <w:szCs w:val="20"/>
        </w:rPr>
        <w:footnoteRef/>
      </w:r>
      <w:r w:rsidRPr="00DF1660">
        <w:rPr>
          <w:rFonts w:ascii="Times New Roman" w:hAnsi="Times New Roman" w:cs="Times New Roman"/>
          <w:sz w:val="20"/>
          <w:szCs w:val="20"/>
        </w:rPr>
        <w:t xml:space="preserve"> </w:t>
      </w:r>
      <w:proofErr w:type="spellStart"/>
      <w:r w:rsidRPr="00DF1660">
        <w:rPr>
          <w:rFonts w:ascii="Times New Roman" w:hAnsi="Times New Roman" w:cs="Times New Roman"/>
          <w:sz w:val="20"/>
          <w:szCs w:val="20"/>
        </w:rPr>
        <w:t>Kirkup</w:t>
      </w:r>
      <w:proofErr w:type="spellEnd"/>
      <w:r w:rsidRPr="00DF1660">
        <w:rPr>
          <w:rFonts w:ascii="Times New Roman" w:hAnsi="Times New Roman" w:cs="Times New Roman"/>
          <w:sz w:val="20"/>
          <w:szCs w:val="20"/>
        </w:rPr>
        <w:t xml:space="preserve"> at al.,</w:t>
      </w:r>
      <w:r w:rsidRPr="00DF1660">
        <w:rPr>
          <w:rFonts w:ascii="Times New Roman" w:hAnsi="Times New Roman" w:cs="Times New Roman"/>
          <w:i/>
          <w:iCs/>
          <w:sz w:val="20"/>
          <w:szCs w:val="20"/>
        </w:rPr>
        <w:t xml:space="preserve"> supra</w:t>
      </w:r>
      <w:r w:rsidR="002558A4" w:rsidRPr="00DF1660">
        <w:rPr>
          <w:rFonts w:ascii="Times New Roman" w:hAnsi="Times New Roman" w:cs="Times New Roman"/>
          <w:sz w:val="20"/>
          <w:szCs w:val="20"/>
        </w:rPr>
        <w:t xml:space="preserve"> note </w:t>
      </w:r>
      <w:r w:rsidR="004E2255">
        <w:rPr>
          <w:rFonts w:ascii="Times New Roman" w:hAnsi="Times New Roman" w:cs="Times New Roman"/>
          <w:sz w:val="20"/>
          <w:szCs w:val="20"/>
        </w:rPr>
        <w:t>20</w:t>
      </w:r>
      <w:r w:rsidR="002558A4" w:rsidRPr="00DF1660">
        <w:rPr>
          <w:rFonts w:ascii="Times New Roman" w:hAnsi="Times New Roman" w:cs="Times New Roman"/>
          <w:sz w:val="20"/>
          <w:szCs w:val="20"/>
        </w:rPr>
        <w:t xml:space="preserve"> at </w:t>
      </w:r>
      <w:r w:rsidR="00044E9B" w:rsidRPr="00DF1660">
        <w:rPr>
          <w:rFonts w:ascii="Times New Roman" w:hAnsi="Times New Roman" w:cs="Times New Roman"/>
          <w:sz w:val="20"/>
          <w:szCs w:val="20"/>
        </w:rPr>
        <w:t>250</w:t>
      </w:r>
      <w:r w:rsidR="004E2255">
        <w:rPr>
          <w:rFonts w:ascii="Times New Roman" w:hAnsi="Times New Roman" w:cs="Times New Roman"/>
          <w:sz w:val="20"/>
          <w:szCs w:val="20"/>
        </w:rPr>
        <w:t>,</w:t>
      </w:r>
      <w:r w:rsidR="00044E9B" w:rsidRPr="00DF1660">
        <w:rPr>
          <w:rFonts w:ascii="Times New Roman" w:hAnsi="Times New Roman" w:cs="Times New Roman"/>
          <w:sz w:val="20"/>
          <w:szCs w:val="20"/>
        </w:rPr>
        <w:t xml:space="preserve"> citing Patricia J.</w:t>
      </w:r>
      <w:r w:rsidR="004E2255">
        <w:rPr>
          <w:rFonts w:ascii="Times New Roman" w:hAnsi="Times New Roman" w:cs="Times New Roman"/>
          <w:sz w:val="20"/>
          <w:szCs w:val="20"/>
        </w:rPr>
        <w:t xml:space="preserve"> Williams, “Alchemical Notes: Reconstructing Ideals from D</w:t>
      </w:r>
      <w:r w:rsidRPr="00DF1660">
        <w:rPr>
          <w:rFonts w:ascii="Times New Roman" w:hAnsi="Times New Roman" w:cs="Times New Roman"/>
          <w:sz w:val="20"/>
          <w:szCs w:val="20"/>
        </w:rPr>
        <w:t xml:space="preserve">econstructed Rights” (1987) 22 </w:t>
      </w:r>
      <w:proofErr w:type="spellStart"/>
      <w:r w:rsidRPr="004E2255">
        <w:rPr>
          <w:rFonts w:ascii="Times New Roman" w:hAnsi="Times New Roman" w:cs="Times New Roman"/>
          <w:i/>
          <w:sz w:val="20"/>
          <w:szCs w:val="20"/>
        </w:rPr>
        <w:t>Harv</w:t>
      </w:r>
      <w:proofErr w:type="spellEnd"/>
      <w:r w:rsidRPr="004E2255">
        <w:rPr>
          <w:rFonts w:ascii="Times New Roman" w:hAnsi="Times New Roman" w:cs="Times New Roman"/>
          <w:i/>
          <w:sz w:val="20"/>
          <w:szCs w:val="20"/>
        </w:rPr>
        <w:t>. Civ.</w:t>
      </w:r>
      <w:r w:rsidR="004E2255" w:rsidRPr="004E2255">
        <w:rPr>
          <w:rFonts w:ascii="Times New Roman" w:hAnsi="Times New Roman" w:cs="Times New Roman"/>
          <w:i/>
          <w:sz w:val="20"/>
          <w:szCs w:val="20"/>
        </w:rPr>
        <w:t xml:space="preserve"> </w:t>
      </w:r>
      <w:proofErr w:type="spellStart"/>
      <w:r w:rsidR="004E2255" w:rsidRPr="004E2255">
        <w:rPr>
          <w:rFonts w:ascii="Times New Roman" w:hAnsi="Times New Roman" w:cs="Times New Roman"/>
          <w:i/>
          <w:sz w:val="20"/>
          <w:szCs w:val="20"/>
        </w:rPr>
        <w:t>Rts</w:t>
      </w:r>
      <w:proofErr w:type="spellEnd"/>
      <w:r w:rsidR="004E2255" w:rsidRPr="004E2255">
        <w:rPr>
          <w:rFonts w:ascii="Times New Roman" w:hAnsi="Times New Roman" w:cs="Times New Roman"/>
          <w:i/>
          <w:sz w:val="20"/>
          <w:szCs w:val="20"/>
        </w:rPr>
        <w:t>. Civ. Liberties L. Rev.</w:t>
      </w:r>
      <w:r w:rsidR="004E2255">
        <w:rPr>
          <w:rFonts w:ascii="Times New Roman" w:hAnsi="Times New Roman" w:cs="Times New Roman"/>
          <w:sz w:val="20"/>
          <w:szCs w:val="20"/>
        </w:rPr>
        <w:t xml:space="preserve"> 401</w:t>
      </w:r>
      <w:r w:rsidRPr="00DF1660">
        <w:rPr>
          <w:rFonts w:ascii="Times New Roman" w:hAnsi="Times New Roman" w:cs="Times New Roman"/>
          <w:sz w:val="20"/>
          <w:szCs w:val="20"/>
        </w:rPr>
        <w:t xml:space="preserve"> [Williams]. </w:t>
      </w:r>
    </w:p>
  </w:footnote>
  <w:footnote w:id="92">
    <w:p w14:paraId="0431A486" w14:textId="290B3382" w:rsidR="007D6A93" w:rsidRPr="00642CF5"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For ways in which forms </w:t>
      </w:r>
      <w:r w:rsidRPr="00642CF5">
        <w:rPr>
          <w:rFonts w:ascii="Times New Roman" w:hAnsi="Times New Roman" w:cs="Times New Roman"/>
        </w:rPr>
        <w:t xml:space="preserve">of government regulation can be harmful in this context, see: </w:t>
      </w:r>
      <w:hyperlink r:id="rId23" w:history="1">
        <w:r w:rsidRPr="00642CF5">
          <w:rPr>
            <w:rStyle w:val="Hyperlink"/>
            <w:rFonts w:ascii="Times New Roman" w:hAnsi="Times New Roman" w:cs="Times New Roman"/>
          </w:rPr>
          <w:t>https://www.theguardian.com/education/2020/sep/25/government-issues-gender-identity-guidance-for-teachers-in-england</w:t>
        </w:r>
      </w:hyperlink>
      <w:r w:rsidR="002558A4" w:rsidRPr="00642CF5">
        <w:rPr>
          <w:rFonts w:ascii="Times New Roman" w:hAnsi="Times New Roman" w:cs="Times New Roman"/>
        </w:rPr>
        <w:t>.</w:t>
      </w:r>
    </w:p>
  </w:footnote>
  <w:footnote w:id="93">
    <w:p w14:paraId="001CECD4" w14:textId="0AF100F2" w:rsidR="00443754" w:rsidRPr="008F6A29" w:rsidRDefault="00443754" w:rsidP="008F6A29">
      <w:pPr>
        <w:spacing w:after="0" w:line="240" w:lineRule="auto"/>
        <w:rPr>
          <w:rFonts w:ascii="Times New Roman" w:eastAsia="Times New Roman" w:hAnsi="Times New Roman" w:cs="Times New Roman"/>
        </w:rPr>
      </w:pPr>
      <w:r w:rsidRPr="008F6A29">
        <w:rPr>
          <w:rStyle w:val="FootnoteReference"/>
          <w:rFonts w:ascii="Times New Roman" w:hAnsi="Times New Roman" w:cs="Times New Roman"/>
          <w:sz w:val="20"/>
          <w:szCs w:val="20"/>
        </w:rPr>
        <w:footnoteRef/>
      </w:r>
      <w:r w:rsidRPr="008F6A29">
        <w:rPr>
          <w:rFonts w:ascii="Times New Roman" w:hAnsi="Times New Roman" w:cs="Times New Roman"/>
          <w:sz w:val="20"/>
          <w:szCs w:val="20"/>
        </w:rPr>
        <w:t xml:space="preserve"> </w:t>
      </w:r>
      <w:r w:rsidR="00642CF5" w:rsidRPr="008F6A29">
        <w:rPr>
          <w:rFonts w:ascii="Times New Roman" w:hAnsi="Times New Roman" w:cs="Times New Roman"/>
          <w:sz w:val="20"/>
          <w:szCs w:val="20"/>
        </w:rPr>
        <w:t>For example, the Greater Essex County District School Board’s 2016 Supporting Gender Identity policy defines “gender expression” as</w:t>
      </w:r>
      <w:r w:rsidR="00642CF5" w:rsidRPr="008F6A29">
        <w:rPr>
          <w:rFonts w:ascii="Times New Roman" w:eastAsia="Times New Roman" w:hAnsi="Times New Roman" w:cs="Times New Roman"/>
          <w:sz w:val="20"/>
          <w:szCs w:val="20"/>
        </w:rPr>
        <w:t xml:space="preserve"> “The various ways that we communicate our gender identity to others, for example, social roles, clothing, body language, hair styles, speech patterns, and voice pitch, given name, etcetera. Often this communication is ascribed to us at a young age and imposed on us through social norms and values.”</w:t>
      </w:r>
      <w:r w:rsidR="00642CF5" w:rsidRPr="008F6A29">
        <w:rPr>
          <w:rFonts w:ascii="Times New Roman" w:hAnsi="Times New Roman" w:cs="Times New Roman"/>
          <w:sz w:val="20"/>
          <w:szCs w:val="20"/>
        </w:rPr>
        <w:t xml:space="preserve"> </w:t>
      </w:r>
      <w:proofErr w:type="spellStart"/>
      <w:r w:rsidR="00642CF5" w:rsidRPr="008F6A29">
        <w:rPr>
          <w:rFonts w:ascii="Times New Roman" w:hAnsi="Times New Roman" w:cs="Times New Roman"/>
          <w:sz w:val="20"/>
          <w:szCs w:val="20"/>
        </w:rPr>
        <w:t>Kirkup</w:t>
      </w:r>
      <w:proofErr w:type="spellEnd"/>
      <w:r w:rsidR="00642CF5" w:rsidRPr="008F6A29">
        <w:rPr>
          <w:rFonts w:ascii="Times New Roman" w:hAnsi="Times New Roman" w:cs="Times New Roman"/>
          <w:sz w:val="20"/>
          <w:szCs w:val="20"/>
        </w:rPr>
        <w:t xml:space="preserve"> et al., </w:t>
      </w:r>
      <w:r w:rsidR="00642CF5" w:rsidRPr="008F6A29">
        <w:rPr>
          <w:rFonts w:ascii="Times New Roman" w:hAnsi="Times New Roman" w:cs="Times New Roman"/>
          <w:i/>
          <w:iCs/>
          <w:sz w:val="20"/>
          <w:szCs w:val="20"/>
        </w:rPr>
        <w:t>supra</w:t>
      </w:r>
      <w:r w:rsidR="00642CF5" w:rsidRPr="008F6A29">
        <w:rPr>
          <w:rFonts w:ascii="Times New Roman" w:hAnsi="Times New Roman" w:cs="Times New Roman"/>
          <w:sz w:val="20"/>
          <w:szCs w:val="20"/>
        </w:rPr>
        <w:t xml:space="preserve"> note </w:t>
      </w:r>
      <w:r w:rsidR="004E2255">
        <w:rPr>
          <w:rFonts w:ascii="Times New Roman" w:hAnsi="Times New Roman" w:cs="Times New Roman"/>
          <w:sz w:val="20"/>
          <w:szCs w:val="20"/>
        </w:rPr>
        <w:t>20</w:t>
      </w:r>
      <w:r w:rsidR="00642CF5" w:rsidRPr="008F6A29">
        <w:rPr>
          <w:rFonts w:ascii="Times New Roman" w:hAnsi="Times New Roman" w:cs="Times New Roman"/>
          <w:sz w:val="20"/>
          <w:szCs w:val="20"/>
        </w:rPr>
        <w:t xml:space="preserve"> at 264-265.  </w:t>
      </w:r>
    </w:p>
  </w:footnote>
  <w:footnote w:id="94">
    <w:p w14:paraId="0BE0BD88" w14:textId="6A186E08" w:rsidR="007D6A93" w:rsidRPr="00DF1660" w:rsidRDefault="007D6A93" w:rsidP="00642CF5">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004E2255">
        <w:rPr>
          <w:rFonts w:ascii="Times New Roman" w:hAnsi="Times New Roman" w:cs="Times New Roman"/>
          <w:i/>
        </w:rPr>
        <w:t>Ibid</w:t>
      </w:r>
      <w:r w:rsidRPr="00DF1660">
        <w:rPr>
          <w:rFonts w:ascii="Times New Roman" w:hAnsi="Times New Roman" w:cs="Times New Roman"/>
        </w:rPr>
        <w:t xml:space="preserve"> at 266.</w:t>
      </w:r>
    </w:p>
  </w:footnote>
  <w:footnote w:id="95">
    <w:p w14:paraId="47D3C2AD" w14:textId="1C7BF126" w:rsidR="007D6A93" w:rsidRPr="00DF1660" w:rsidRDefault="007D6A93" w:rsidP="00642CF5">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002558A4" w:rsidRPr="00DF1660">
        <w:rPr>
          <w:rFonts w:ascii="Times New Roman" w:hAnsi="Times New Roman" w:cs="Times New Roman"/>
        </w:rPr>
        <w:t>Namaste and</w:t>
      </w:r>
      <w:r w:rsidRPr="00DF1660">
        <w:rPr>
          <w:rFonts w:ascii="Times New Roman" w:hAnsi="Times New Roman" w:cs="Times New Roman"/>
        </w:rPr>
        <w:t xml:space="preserve"> </w:t>
      </w:r>
      <w:proofErr w:type="spellStart"/>
      <w:r w:rsidRPr="00DF1660">
        <w:rPr>
          <w:rFonts w:ascii="Times New Roman" w:hAnsi="Times New Roman" w:cs="Times New Roman"/>
        </w:rPr>
        <w:t>Tourki</w:t>
      </w:r>
      <w:proofErr w:type="spellEnd"/>
      <w:r w:rsidRPr="00DF1660">
        <w:rPr>
          <w:rFonts w:ascii="Times New Roman" w:hAnsi="Times New Roman" w:cs="Times New Roman"/>
        </w:rPr>
        <w:t xml:space="preserve">, </w:t>
      </w:r>
      <w:r w:rsidRPr="00DF1660">
        <w:rPr>
          <w:rFonts w:ascii="Times New Roman" w:hAnsi="Times New Roman" w:cs="Times New Roman"/>
          <w:i/>
          <w:iCs/>
        </w:rPr>
        <w:t xml:space="preserve">supra </w:t>
      </w:r>
      <w:r w:rsidR="002558A4" w:rsidRPr="00DF1660">
        <w:rPr>
          <w:rFonts w:ascii="Times New Roman" w:hAnsi="Times New Roman" w:cs="Times New Roman"/>
        </w:rPr>
        <w:t xml:space="preserve">note </w:t>
      </w:r>
      <w:r w:rsidR="004E2255">
        <w:rPr>
          <w:rFonts w:ascii="Times New Roman" w:hAnsi="Times New Roman" w:cs="Times New Roman"/>
        </w:rPr>
        <w:t>17</w:t>
      </w:r>
      <w:r w:rsidRPr="00DF1660">
        <w:rPr>
          <w:rFonts w:ascii="Times New Roman" w:hAnsi="Times New Roman" w:cs="Times New Roman"/>
        </w:rPr>
        <w:t xml:space="preserve"> at 166-167.</w:t>
      </w:r>
    </w:p>
  </w:footnote>
  <w:footnote w:id="96">
    <w:p w14:paraId="21E05080" w14:textId="0760F336" w:rsidR="007D6A93" w:rsidRPr="00DF1660" w:rsidRDefault="007D6A93" w:rsidP="00642CF5">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Laidlaw, </w:t>
      </w:r>
      <w:r w:rsidRPr="00DF1660">
        <w:rPr>
          <w:rFonts w:ascii="Times New Roman" w:hAnsi="Times New Roman" w:cs="Times New Roman"/>
          <w:i/>
          <w:iCs/>
        </w:rPr>
        <w:t xml:space="preserve">supra </w:t>
      </w:r>
      <w:r w:rsidR="00D50E3E" w:rsidRPr="00DF1660">
        <w:rPr>
          <w:rFonts w:ascii="Times New Roman" w:hAnsi="Times New Roman" w:cs="Times New Roman"/>
        </w:rPr>
        <w:t xml:space="preserve">note </w:t>
      </w:r>
      <w:r w:rsidR="00D50E3E" w:rsidRPr="00DF1660">
        <w:rPr>
          <w:rFonts w:ascii="Times New Roman" w:hAnsi="Times New Roman" w:cs="Times New Roman"/>
        </w:rPr>
        <w:fldChar w:fldCharType="begin"/>
      </w:r>
      <w:r w:rsidR="00D50E3E" w:rsidRPr="00DF1660">
        <w:rPr>
          <w:rFonts w:ascii="Times New Roman" w:hAnsi="Times New Roman" w:cs="Times New Roman"/>
        </w:rPr>
        <w:instrText xml:space="preserve"> NOTEREF _Ref65661721 \h </w:instrText>
      </w:r>
      <w:r w:rsidR="00DF1660" w:rsidRPr="00DF1660">
        <w:rPr>
          <w:rFonts w:ascii="Times New Roman" w:hAnsi="Times New Roman" w:cs="Times New Roman"/>
        </w:rPr>
        <w:instrText xml:space="preserve"> \* MERGEFORMAT </w:instrText>
      </w:r>
      <w:r w:rsidR="00D50E3E" w:rsidRPr="00DF1660">
        <w:rPr>
          <w:rFonts w:ascii="Times New Roman" w:hAnsi="Times New Roman" w:cs="Times New Roman"/>
        </w:rPr>
      </w:r>
      <w:r w:rsidR="00D50E3E" w:rsidRPr="00DF1660">
        <w:rPr>
          <w:rFonts w:ascii="Times New Roman" w:hAnsi="Times New Roman" w:cs="Times New Roman"/>
        </w:rPr>
        <w:fldChar w:fldCharType="separate"/>
      </w:r>
      <w:r w:rsidR="00174284">
        <w:rPr>
          <w:rFonts w:ascii="Times New Roman" w:hAnsi="Times New Roman" w:cs="Times New Roman"/>
        </w:rPr>
        <w:t>2</w:t>
      </w:r>
      <w:r w:rsidR="00D50E3E" w:rsidRPr="00DF1660">
        <w:rPr>
          <w:rFonts w:ascii="Times New Roman" w:hAnsi="Times New Roman" w:cs="Times New Roman"/>
        </w:rPr>
        <w:fldChar w:fldCharType="end"/>
      </w:r>
      <w:r w:rsidR="004E2255">
        <w:rPr>
          <w:rFonts w:ascii="Times New Roman" w:hAnsi="Times New Roman" w:cs="Times New Roman"/>
        </w:rPr>
        <w:t>1</w:t>
      </w:r>
      <w:r w:rsidRPr="00DF1660">
        <w:rPr>
          <w:rFonts w:ascii="Times New Roman" w:hAnsi="Times New Roman" w:cs="Times New Roman"/>
        </w:rPr>
        <w:t xml:space="preserve"> at 279, 282.</w:t>
      </w:r>
    </w:p>
  </w:footnote>
  <w:footnote w:id="97">
    <w:p w14:paraId="357CF653" w14:textId="5734ED95"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00D50E3E" w:rsidRPr="00DF1660">
        <w:rPr>
          <w:rFonts w:ascii="Times New Roman" w:hAnsi="Times New Roman" w:cs="Times New Roman"/>
        </w:rPr>
        <w:t xml:space="preserve"> </w:t>
      </w:r>
      <w:r w:rsidRPr="00DF1660">
        <w:rPr>
          <w:rFonts w:ascii="Times New Roman" w:hAnsi="Times New Roman" w:cs="Times New Roman"/>
        </w:rPr>
        <w:t>Ashley</w:t>
      </w:r>
      <w:r w:rsidR="00D50E3E" w:rsidRPr="00DF1660">
        <w:rPr>
          <w:rFonts w:ascii="Times New Roman" w:hAnsi="Times New Roman" w:cs="Times New Roman"/>
        </w:rPr>
        <w:t xml:space="preserve">, </w:t>
      </w:r>
      <w:r w:rsidR="00D50E3E" w:rsidRPr="00DF1660">
        <w:rPr>
          <w:rFonts w:ascii="Times New Roman" w:hAnsi="Times New Roman" w:cs="Times New Roman"/>
          <w:i/>
        </w:rPr>
        <w:t xml:space="preserve">supra </w:t>
      </w:r>
      <w:r w:rsidR="00D50E3E" w:rsidRPr="00DF1660">
        <w:rPr>
          <w:rFonts w:ascii="Times New Roman" w:hAnsi="Times New Roman" w:cs="Times New Roman"/>
        </w:rPr>
        <w:t xml:space="preserve">note </w:t>
      </w:r>
      <w:r w:rsidR="004E2255">
        <w:rPr>
          <w:rFonts w:ascii="Times New Roman" w:hAnsi="Times New Roman" w:cs="Times New Roman"/>
        </w:rPr>
        <w:t>1 at 333,</w:t>
      </w:r>
      <w:r w:rsidRPr="00DF1660">
        <w:rPr>
          <w:rFonts w:ascii="Times New Roman" w:hAnsi="Times New Roman" w:cs="Times New Roman"/>
        </w:rPr>
        <w:t xml:space="preserve"> 335.</w:t>
      </w:r>
    </w:p>
  </w:footnote>
  <w:footnote w:id="98">
    <w:p w14:paraId="64E91F8D" w14:textId="62A6572A"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004E2255">
        <w:rPr>
          <w:rFonts w:ascii="Times New Roman" w:hAnsi="Times New Roman" w:cs="Times New Roman"/>
          <w:i/>
        </w:rPr>
        <w:t xml:space="preserve">Ibid </w:t>
      </w:r>
      <w:r w:rsidRPr="00DF1660">
        <w:rPr>
          <w:rFonts w:ascii="Times New Roman" w:hAnsi="Times New Roman" w:cs="Times New Roman"/>
        </w:rPr>
        <w:t xml:space="preserve">at 339.  See the discussion of the UK Future of Legal Gender project (the </w:t>
      </w:r>
      <w:proofErr w:type="spellStart"/>
      <w:r w:rsidRPr="00DF1660">
        <w:rPr>
          <w:rFonts w:ascii="Times New Roman" w:hAnsi="Times New Roman" w:cs="Times New Roman"/>
        </w:rPr>
        <w:t>FLaG</w:t>
      </w:r>
      <w:proofErr w:type="spellEnd"/>
      <w:r w:rsidRPr="00DF1660">
        <w:rPr>
          <w:rFonts w:ascii="Times New Roman" w:hAnsi="Times New Roman" w:cs="Times New Roman"/>
        </w:rPr>
        <w:t xml:space="preserve"> project), exploring the consequences for us all if the state steps back from recording, confirming, recognizing or standing behind sex or gender as formally attributed aspects of personhood: Davina Cooper, Emily Grabham, and Flora Renz, “Introduction to the Special Issue on the Future of Legal Gender: Exploring the Feminist Politics of Decertification” (2020) 10(2) </w:t>
      </w:r>
      <w:proofErr w:type="spellStart"/>
      <w:r w:rsidRPr="00DF1660">
        <w:rPr>
          <w:rFonts w:ascii="Times New Roman" w:hAnsi="Times New Roman" w:cs="Times New Roman"/>
          <w:i/>
        </w:rPr>
        <w:t>feminists@law</w:t>
      </w:r>
      <w:proofErr w:type="spellEnd"/>
      <w:r w:rsidRPr="00DF1660">
        <w:rPr>
          <w:rFonts w:ascii="Times New Roman" w:hAnsi="Times New Roman" w:cs="Times New Roman"/>
        </w:rPr>
        <w:t xml:space="preserve">: </w:t>
      </w:r>
      <w:hyperlink r:id="rId24" w:history="1">
        <w:r w:rsidRPr="00DF1660">
          <w:rPr>
            <w:rStyle w:val="Hyperlink"/>
            <w:rFonts w:ascii="Times New Roman" w:hAnsi="Times New Roman" w:cs="Times New Roman"/>
          </w:rPr>
          <w:t>https://journals.kent.ac.uk/index.php/feministsatlaw/article/download/937/1797?inline=1</w:t>
        </w:r>
      </w:hyperlink>
      <w:r w:rsidRPr="00DF1660">
        <w:rPr>
          <w:rFonts w:ascii="Times New Roman" w:hAnsi="Times New Roman" w:cs="Times New Roman"/>
        </w:rPr>
        <w:t>.</w:t>
      </w:r>
    </w:p>
  </w:footnote>
  <w:footnote w:id="99">
    <w:p w14:paraId="7B0E19D1" w14:textId="7C0703C3"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Nam</w:t>
      </w:r>
      <w:r w:rsidR="00D50E3E" w:rsidRPr="00DF1660">
        <w:rPr>
          <w:rFonts w:ascii="Times New Roman" w:hAnsi="Times New Roman" w:cs="Times New Roman"/>
        </w:rPr>
        <w:t>aste and</w:t>
      </w:r>
      <w:r w:rsidRPr="00DF1660">
        <w:rPr>
          <w:rFonts w:ascii="Times New Roman" w:hAnsi="Times New Roman" w:cs="Times New Roman"/>
        </w:rPr>
        <w:t xml:space="preserve"> </w:t>
      </w:r>
      <w:proofErr w:type="spellStart"/>
      <w:r w:rsidRPr="00DF1660">
        <w:rPr>
          <w:rFonts w:ascii="Times New Roman" w:hAnsi="Times New Roman" w:cs="Times New Roman"/>
        </w:rPr>
        <w:t>Tourki</w:t>
      </w:r>
      <w:proofErr w:type="spellEnd"/>
      <w:r w:rsidRPr="00DF1660">
        <w:rPr>
          <w:rFonts w:ascii="Times New Roman" w:hAnsi="Times New Roman" w:cs="Times New Roman"/>
        </w:rPr>
        <w:t xml:space="preserve">, </w:t>
      </w:r>
      <w:r w:rsidRPr="00DF1660">
        <w:rPr>
          <w:rFonts w:ascii="Times New Roman" w:hAnsi="Times New Roman" w:cs="Times New Roman"/>
          <w:i/>
          <w:iCs/>
        </w:rPr>
        <w:t xml:space="preserve">supra </w:t>
      </w:r>
      <w:r w:rsidR="00D50E3E" w:rsidRPr="00DF1660">
        <w:rPr>
          <w:rFonts w:ascii="Times New Roman" w:hAnsi="Times New Roman" w:cs="Times New Roman"/>
        </w:rPr>
        <w:t xml:space="preserve">note </w:t>
      </w:r>
      <w:r w:rsidR="00DB008B">
        <w:rPr>
          <w:rFonts w:ascii="Times New Roman" w:hAnsi="Times New Roman" w:cs="Times New Roman"/>
        </w:rPr>
        <w:t>17</w:t>
      </w:r>
      <w:r w:rsidR="00D50E3E" w:rsidRPr="00DF1660">
        <w:rPr>
          <w:rFonts w:ascii="Times New Roman" w:hAnsi="Times New Roman" w:cs="Times New Roman"/>
        </w:rPr>
        <w:fldChar w:fldCharType="begin"/>
      </w:r>
      <w:r w:rsidR="00D50E3E" w:rsidRPr="00DF1660">
        <w:rPr>
          <w:rFonts w:ascii="Times New Roman" w:hAnsi="Times New Roman" w:cs="Times New Roman"/>
        </w:rPr>
        <w:instrText xml:space="preserve"> NOTEREF _Ref65661145 \h </w:instrText>
      </w:r>
      <w:r w:rsidR="00DF1660" w:rsidRPr="00DF1660">
        <w:rPr>
          <w:rFonts w:ascii="Times New Roman" w:hAnsi="Times New Roman" w:cs="Times New Roman"/>
        </w:rPr>
        <w:instrText xml:space="preserve"> \* MERGEFORMAT </w:instrText>
      </w:r>
      <w:r w:rsidR="00D50E3E" w:rsidRPr="00DF1660">
        <w:rPr>
          <w:rFonts w:ascii="Times New Roman" w:hAnsi="Times New Roman" w:cs="Times New Roman"/>
        </w:rPr>
      </w:r>
      <w:r w:rsidR="00D50E3E" w:rsidRPr="00DF1660">
        <w:rPr>
          <w:rFonts w:ascii="Times New Roman" w:hAnsi="Times New Roman" w:cs="Times New Roman"/>
        </w:rPr>
        <w:fldChar w:fldCharType="separate"/>
      </w:r>
      <w:r w:rsidR="00D50E3E" w:rsidRPr="00DF1660">
        <w:rPr>
          <w:rFonts w:ascii="Times New Roman" w:hAnsi="Times New Roman" w:cs="Times New Roman"/>
        </w:rPr>
        <w:fldChar w:fldCharType="end"/>
      </w:r>
      <w:r w:rsidRPr="00DF1660">
        <w:rPr>
          <w:rFonts w:ascii="Times New Roman" w:hAnsi="Times New Roman" w:cs="Times New Roman"/>
        </w:rPr>
        <w:t xml:space="preserve"> at 168.</w:t>
      </w:r>
    </w:p>
  </w:footnote>
  <w:footnote w:id="100">
    <w:p w14:paraId="04A73634" w14:textId="6DC2F3B2"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rPr>
        <w:t>Ibid</w:t>
      </w:r>
      <w:r w:rsidRPr="00DF1660">
        <w:rPr>
          <w:rFonts w:ascii="Times New Roman" w:hAnsi="Times New Roman" w:cs="Times New Roman"/>
        </w:rPr>
        <w:t>.</w:t>
      </w:r>
    </w:p>
  </w:footnote>
  <w:footnote w:id="101">
    <w:p w14:paraId="6701713E" w14:textId="2AD071B2"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Pr="00DF1660">
        <w:rPr>
          <w:rFonts w:ascii="Times New Roman" w:hAnsi="Times New Roman" w:cs="Times New Roman"/>
          <w:i/>
          <w:iCs/>
        </w:rPr>
        <w:t>Ibid</w:t>
      </w:r>
      <w:r w:rsidRPr="00DF1660">
        <w:rPr>
          <w:rFonts w:ascii="Times New Roman" w:hAnsi="Times New Roman" w:cs="Times New Roman"/>
        </w:rPr>
        <w:t xml:space="preserve"> at 175.</w:t>
      </w:r>
    </w:p>
  </w:footnote>
  <w:footnote w:id="102">
    <w:p w14:paraId="3D623D5A" w14:textId="5D2C1CB9"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00D50E3E" w:rsidRPr="00DF1660">
        <w:rPr>
          <w:rFonts w:ascii="Times New Roman" w:hAnsi="Times New Roman" w:cs="Times New Roman"/>
        </w:rPr>
        <w:t xml:space="preserve"> This is my own definition of what </w:t>
      </w:r>
      <w:proofErr w:type="spellStart"/>
      <w:r w:rsidR="00D50E3E" w:rsidRPr="00DF1660">
        <w:rPr>
          <w:rFonts w:ascii="Times New Roman" w:hAnsi="Times New Roman" w:cs="Times New Roman"/>
        </w:rPr>
        <w:t>tentacular</w:t>
      </w:r>
      <w:proofErr w:type="spellEnd"/>
      <w:r w:rsidR="00D50E3E" w:rsidRPr="00DF1660">
        <w:rPr>
          <w:rFonts w:ascii="Times New Roman" w:hAnsi="Times New Roman" w:cs="Times New Roman"/>
        </w:rPr>
        <w:t xml:space="preserve"> means.</w:t>
      </w:r>
    </w:p>
  </w:footnote>
  <w:footnote w:id="103">
    <w:p w14:paraId="5DB14D02" w14:textId="63F7B1E8" w:rsidR="007D6A93" w:rsidRPr="00DF1660" w:rsidRDefault="007D6A93" w:rsidP="00525C50">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Ross, </w:t>
      </w:r>
      <w:r w:rsidRPr="00DF1660">
        <w:rPr>
          <w:rFonts w:ascii="Times New Roman" w:hAnsi="Times New Roman" w:cs="Times New Roman"/>
          <w:i/>
          <w:iCs/>
        </w:rPr>
        <w:t>supra</w:t>
      </w:r>
      <w:r w:rsidR="00D50E3E" w:rsidRPr="00DF1660">
        <w:rPr>
          <w:rFonts w:ascii="Times New Roman" w:hAnsi="Times New Roman" w:cs="Times New Roman"/>
        </w:rPr>
        <w:t xml:space="preserve"> note</w:t>
      </w:r>
      <w:r w:rsidR="00DB008B">
        <w:rPr>
          <w:rFonts w:ascii="Times New Roman" w:hAnsi="Times New Roman" w:cs="Times New Roman"/>
        </w:rPr>
        <w:t xml:space="preserve"> 16</w:t>
      </w:r>
      <w:r w:rsidRPr="00DF1660">
        <w:rPr>
          <w:rFonts w:ascii="Times New Roman" w:hAnsi="Times New Roman" w:cs="Times New Roman"/>
        </w:rPr>
        <w:t xml:space="preserve">; </w:t>
      </w:r>
      <w:r w:rsidR="00D50E3E" w:rsidRPr="00DF1660">
        <w:rPr>
          <w:rFonts w:ascii="Times New Roman" w:hAnsi="Times New Roman" w:cs="Times New Roman"/>
        </w:rPr>
        <w:t>Namaste and</w:t>
      </w:r>
      <w:r w:rsidRPr="00DF1660">
        <w:rPr>
          <w:rFonts w:ascii="Times New Roman" w:hAnsi="Times New Roman" w:cs="Times New Roman"/>
        </w:rPr>
        <w:t xml:space="preserve"> </w:t>
      </w:r>
      <w:proofErr w:type="spellStart"/>
      <w:r w:rsidRPr="00DF1660">
        <w:rPr>
          <w:rFonts w:ascii="Times New Roman" w:hAnsi="Times New Roman" w:cs="Times New Roman"/>
        </w:rPr>
        <w:t>Tourki</w:t>
      </w:r>
      <w:proofErr w:type="spellEnd"/>
      <w:r w:rsidRPr="00DF1660">
        <w:rPr>
          <w:rFonts w:ascii="Times New Roman" w:hAnsi="Times New Roman" w:cs="Times New Roman"/>
        </w:rPr>
        <w:t xml:space="preserve">, </w:t>
      </w:r>
      <w:r w:rsidRPr="00DF1660">
        <w:rPr>
          <w:rFonts w:ascii="Times New Roman" w:hAnsi="Times New Roman" w:cs="Times New Roman"/>
          <w:i/>
          <w:iCs/>
        </w:rPr>
        <w:t xml:space="preserve">supra </w:t>
      </w:r>
      <w:r w:rsidR="00D50E3E" w:rsidRPr="00DF1660">
        <w:rPr>
          <w:rFonts w:ascii="Times New Roman" w:hAnsi="Times New Roman" w:cs="Times New Roman"/>
        </w:rPr>
        <w:t>note</w:t>
      </w:r>
      <w:r w:rsidR="00DB008B">
        <w:rPr>
          <w:rFonts w:ascii="Times New Roman" w:hAnsi="Times New Roman" w:cs="Times New Roman"/>
        </w:rPr>
        <w:t xml:space="preserve"> 17</w:t>
      </w:r>
      <w:r w:rsidRPr="00DF1660">
        <w:rPr>
          <w:rFonts w:ascii="Times New Roman" w:hAnsi="Times New Roman" w:cs="Times New Roman"/>
        </w:rPr>
        <w:t xml:space="preserve">. </w:t>
      </w:r>
    </w:p>
  </w:footnote>
  <w:footnote w:id="104">
    <w:p w14:paraId="17C42667" w14:textId="7872BC31"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00D50E3E" w:rsidRPr="00DF1660">
        <w:rPr>
          <w:rFonts w:ascii="Times New Roman" w:hAnsi="Times New Roman" w:cs="Times New Roman"/>
        </w:rPr>
        <w:t>Irving and</w:t>
      </w:r>
      <w:r w:rsidRPr="00DF1660">
        <w:rPr>
          <w:rFonts w:ascii="Times New Roman" w:hAnsi="Times New Roman" w:cs="Times New Roman"/>
        </w:rPr>
        <w:t xml:space="preserve"> </w:t>
      </w:r>
      <w:proofErr w:type="spellStart"/>
      <w:r w:rsidRPr="00DF1660">
        <w:rPr>
          <w:rFonts w:ascii="Times New Roman" w:hAnsi="Times New Roman" w:cs="Times New Roman"/>
        </w:rPr>
        <w:t>Hoo</w:t>
      </w:r>
      <w:proofErr w:type="spellEnd"/>
      <w:r w:rsidRPr="00DF1660">
        <w:rPr>
          <w:rFonts w:ascii="Times New Roman" w:hAnsi="Times New Roman" w:cs="Times New Roman"/>
        </w:rPr>
        <w:t xml:space="preserve">, </w:t>
      </w:r>
      <w:r w:rsidRPr="00DF1660">
        <w:rPr>
          <w:rFonts w:ascii="Times New Roman" w:hAnsi="Times New Roman" w:cs="Times New Roman"/>
          <w:i/>
          <w:iCs/>
        </w:rPr>
        <w:t xml:space="preserve">supra </w:t>
      </w:r>
      <w:r w:rsidR="00D50E3E" w:rsidRPr="00DF1660">
        <w:rPr>
          <w:rFonts w:ascii="Times New Roman" w:hAnsi="Times New Roman" w:cs="Times New Roman"/>
        </w:rPr>
        <w:t xml:space="preserve">note </w:t>
      </w:r>
      <w:r w:rsidR="00DB008B">
        <w:rPr>
          <w:rFonts w:ascii="Times New Roman" w:hAnsi="Times New Roman" w:cs="Times New Roman"/>
        </w:rPr>
        <w:t>18</w:t>
      </w:r>
      <w:r w:rsidRPr="00DF1660">
        <w:rPr>
          <w:rFonts w:ascii="Times New Roman" w:hAnsi="Times New Roman" w:cs="Times New Roman"/>
        </w:rPr>
        <w:t xml:space="preserve"> at 215.</w:t>
      </w:r>
    </w:p>
  </w:footnote>
  <w:footnote w:id="105">
    <w:p w14:paraId="5B01FAEF" w14:textId="3829088B"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w:t>
      </w:r>
      <w:r w:rsidR="00D50E3E" w:rsidRPr="00DF1660">
        <w:rPr>
          <w:rFonts w:ascii="Times New Roman" w:hAnsi="Times New Roman" w:cs="Times New Roman"/>
        </w:rPr>
        <w:t>Namaste and</w:t>
      </w:r>
      <w:r w:rsidRPr="00DF1660">
        <w:rPr>
          <w:rFonts w:ascii="Times New Roman" w:hAnsi="Times New Roman" w:cs="Times New Roman"/>
        </w:rPr>
        <w:t xml:space="preserve"> </w:t>
      </w:r>
      <w:proofErr w:type="spellStart"/>
      <w:r w:rsidRPr="00DF1660">
        <w:rPr>
          <w:rFonts w:ascii="Times New Roman" w:hAnsi="Times New Roman" w:cs="Times New Roman"/>
        </w:rPr>
        <w:t>Tourki</w:t>
      </w:r>
      <w:proofErr w:type="spellEnd"/>
      <w:r w:rsidRPr="00DF1660">
        <w:rPr>
          <w:rFonts w:ascii="Times New Roman" w:hAnsi="Times New Roman" w:cs="Times New Roman"/>
        </w:rPr>
        <w:t xml:space="preserve">, </w:t>
      </w:r>
      <w:r w:rsidRPr="00DF1660">
        <w:rPr>
          <w:rFonts w:ascii="Times New Roman" w:hAnsi="Times New Roman" w:cs="Times New Roman"/>
          <w:i/>
          <w:iCs/>
        </w:rPr>
        <w:t xml:space="preserve">supra </w:t>
      </w:r>
      <w:r w:rsidR="00D50E3E" w:rsidRPr="00DF1660">
        <w:rPr>
          <w:rFonts w:ascii="Times New Roman" w:hAnsi="Times New Roman" w:cs="Times New Roman"/>
        </w:rPr>
        <w:t xml:space="preserve">note </w:t>
      </w:r>
      <w:r w:rsidR="00DB008B">
        <w:rPr>
          <w:rFonts w:ascii="Times New Roman" w:hAnsi="Times New Roman" w:cs="Times New Roman"/>
        </w:rPr>
        <w:t>17</w:t>
      </w:r>
      <w:r w:rsidRPr="00DF1660">
        <w:rPr>
          <w:rFonts w:ascii="Times New Roman" w:hAnsi="Times New Roman" w:cs="Times New Roman"/>
        </w:rPr>
        <w:t xml:space="preserve"> at 172.</w:t>
      </w:r>
    </w:p>
  </w:footnote>
  <w:footnote w:id="106">
    <w:p w14:paraId="76048188" w14:textId="3986B223" w:rsidR="007D6A93" w:rsidRPr="00DF1660" w:rsidRDefault="007D6A93">
      <w:pPr>
        <w:pStyle w:val="FootnoteText"/>
        <w:rPr>
          <w:rFonts w:ascii="Times New Roman" w:hAnsi="Times New Roman" w:cs="Times New Roman"/>
        </w:rPr>
      </w:pPr>
      <w:r w:rsidRPr="00DF1660">
        <w:rPr>
          <w:rStyle w:val="FootnoteReference"/>
          <w:rFonts w:ascii="Times New Roman" w:hAnsi="Times New Roman" w:cs="Times New Roman"/>
        </w:rPr>
        <w:footnoteRef/>
      </w:r>
      <w:r w:rsidRPr="00DF1660">
        <w:rPr>
          <w:rFonts w:ascii="Times New Roman" w:hAnsi="Times New Roman" w:cs="Times New Roman"/>
        </w:rPr>
        <w:t xml:space="preserve"> Singer, </w:t>
      </w:r>
      <w:r w:rsidRPr="00DF1660">
        <w:rPr>
          <w:rFonts w:ascii="Times New Roman" w:hAnsi="Times New Roman" w:cs="Times New Roman"/>
          <w:i/>
          <w:iCs/>
        </w:rPr>
        <w:t xml:space="preserve">supra </w:t>
      </w:r>
      <w:r w:rsidR="00D50E3E" w:rsidRPr="00DF1660">
        <w:rPr>
          <w:rFonts w:ascii="Times New Roman" w:hAnsi="Times New Roman" w:cs="Times New Roman"/>
        </w:rPr>
        <w:t xml:space="preserve">note </w:t>
      </w:r>
      <w:r w:rsidR="00DB008B">
        <w:rPr>
          <w:rFonts w:ascii="Times New Roman" w:hAnsi="Times New Roman" w:cs="Times New Roman"/>
        </w:rPr>
        <w:t>22</w:t>
      </w:r>
      <w:r w:rsidRPr="00DF1660">
        <w:rPr>
          <w:rFonts w:ascii="Times New Roman" w:hAnsi="Times New Roman" w:cs="Times New Roman"/>
        </w:rPr>
        <w:t xml:space="preserve"> at 302.</w:t>
      </w:r>
    </w:p>
  </w:footnote>
  <w:footnote w:id="107">
    <w:p w14:paraId="0B660C56" w14:textId="61ED793E" w:rsidR="006A7285" w:rsidRPr="00040AA3" w:rsidRDefault="006A7285">
      <w:pPr>
        <w:pStyle w:val="FootnoteText"/>
        <w:rPr>
          <w:rFonts w:ascii="Times New Roman" w:hAnsi="Times New Roman" w:cs="Times New Roman"/>
        </w:rPr>
      </w:pPr>
      <w:r w:rsidRPr="002D1B91">
        <w:rPr>
          <w:rStyle w:val="FootnoteReference"/>
          <w:rFonts w:ascii="Times New Roman" w:hAnsi="Times New Roman" w:cs="Times New Roman"/>
        </w:rPr>
        <w:footnoteRef/>
      </w:r>
      <w:r w:rsidRPr="002D1B91">
        <w:rPr>
          <w:rFonts w:ascii="Times New Roman" w:hAnsi="Times New Roman" w:cs="Times New Roman"/>
        </w:rPr>
        <w:t xml:space="preserve"> For another review of this excellent volume see </w:t>
      </w:r>
      <w:r w:rsidRPr="002D1B91">
        <w:rPr>
          <w:rFonts w:ascii="Times New Roman" w:hAnsi="Times New Roman" w:cs="Times New Roman"/>
          <w:shd w:val="clear" w:color="auto" w:fill="FFFFFF"/>
        </w:rPr>
        <w:t>Kim Brooks, </w:t>
      </w:r>
      <w:r w:rsidR="002D1B91" w:rsidRPr="002D1B91">
        <w:rPr>
          <w:rFonts w:ascii="Times New Roman" w:hAnsi="Times New Roman" w:cs="Times New Roman"/>
          <w:shd w:val="clear" w:color="auto" w:fill="FFFFFF"/>
        </w:rPr>
        <w:t>“</w:t>
      </w:r>
      <w:r w:rsidRPr="002D1B91">
        <w:rPr>
          <w:rStyle w:val="Emphasis"/>
          <w:rFonts w:ascii="Times New Roman" w:hAnsi="Times New Roman" w:cs="Times New Roman"/>
          <w:i w:val="0"/>
          <w:bdr w:val="none" w:sz="0" w:space="0" w:color="auto" w:frame="1"/>
          <w:shd w:val="clear" w:color="auto" w:fill="FFFFFF"/>
        </w:rPr>
        <w:t>A Lively Conversation on Trans Legal Change</w:t>
      </w:r>
      <w:r w:rsidR="002D1B91" w:rsidRPr="002D1B91">
        <w:rPr>
          <w:rStyle w:val="Emphasis"/>
          <w:rFonts w:ascii="Times New Roman" w:hAnsi="Times New Roman" w:cs="Times New Roman"/>
          <w:i w:val="0"/>
          <w:bdr w:val="none" w:sz="0" w:space="0" w:color="auto" w:frame="1"/>
          <w:shd w:val="clear" w:color="auto" w:fill="FFFFFF"/>
        </w:rPr>
        <w:t>”</w:t>
      </w:r>
      <w:r w:rsidRPr="002D1B91">
        <w:rPr>
          <w:rFonts w:ascii="Times New Roman" w:hAnsi="Times New Roman" w:cs="Times New Roman"/>
          <w:i/>
          <w:shd w:val="clear" w:color="auto" w:fill="FFFFFF"/>
        </w:rPr>
        <w:t>,</w:t>
      </w:r>
      <w:r w:rsidRPr="002D1B91">
        <w:rPr>
          <w:rFonts w:ascii="Times New Roman" w:hAnsi="Times New Roman" w:cs="Times New Roman"/>
          <w:shd w:val="clear" w:color="auto" w:fill="FFFFFF"/>
        </w:rPr>
        <w:t xml:space="preserve"> </w:t>
      </w:r>
      <w:r w:rsidRPr="002D1B91">
        <w:rPr>
          <w:rFonts w:ascii="Times New Roman" w:hAnsi="Times New Roman" w:cs="Times New Roman"/>
          <w:i/>
          <w:shd w:val="clear" w:color="auto" w:fill="FFFFFF"/>
        </w:rPr>
        <w:t>JOTWELL</w:t>
      </w:r>
      <w:r w:rsidR="002D1B91" w:rsidRPr="002D1B91">
        <w:rPr>
          <w:rFonts w:ascii="Times New Roman" w:hAnsi="Times New Roman" w:cs="Times New Roman"/>
          <w:shd w:val="clear" w:color="auto" w:fill="FFFFFF"/>
        </w:rPr>
        <w:t xml:space="preserve"> (January 25, 2021:</w:t>
      </w:r>
      <w:r w:rsidRPr="00040AA3">
        <w:rPr>
          <w:rFonts w:ascii="Times New Roman" w:hAnsi="Times New Roman" w:cs="Times New Roman"/>
          <w:color w:val="1E2F4B"/>
          <w:shd w:val="clear" w:color="auto" w:fill="FFFFFF"/>
        </w:rPr>
        <w:t> </w:t>
      </w:r>
      <w:hyperlink r:id="rId25" w:history="1">
        <w:r w:rsidR="002D1B91" w:rsidRPr="00F47E05">
          <w:rPr>
            <w:rStyle w:val="Hyperlink"/>
            <w:rFonts w:ascii="Times New Roman" w:hAnsi="Times New Roman" w:cs="Times New Roman"/>
            <w:bdr w:val="none" w:sz="0" w:space="0" w:color="auto" w:frame="1"/>
            <w:shd w:val="clear" w:color="auto" w:fill="FFFFFF"/>
          </w:rPr>
          <w:t>https://equality.jotwell.com/a-lively-conversation-on-trans-legal-change/</w:t>
        </w:r>
      </w:hyperlink>
      <w:r w:rsidRPr="00040AA3">
        <w:rPr>
          <w:rFonts w:ascii="Times New Roman" w:hAnsi="Times New Roman" w:cs="Times New Roman"/>
          <w:color w:val="1E2F4B"/>
          <w:shd w:val="clear" w:color="auto" w:fill="FFFFFF"/>
        </w:rPr>
        <w:t>.</w:t>
      </w:r>
    </w:p>
  </w:footnote>
  <w:footnote w:id="108">
    <w:p w14:paraId="420DE025" w14:textId="281C09E2" w:rsidR="00B415F6" w:rsidRPr="008F6A29" w:rsidRDefault="00B415F6">
      <w:pPr>
        <w:pStyle w:val="FootnoteText"/>
        <w:rPr>
          <w:rFonts w:ascii="Times New Roman" w:hAnsi="Times New Roman" w:cs="Times New Roman"/>
        </w:rPr>
      </w:pPr>
      <w:r w:rsidRPr="008F6A29">
        <w:rPr>
          <w:rStyle w:val="FootnoteReference"/>
          <w:rFonts w:ascii="Times New Roman" w:hAnsi="Times New Roman" w:cs="Times New Roman"/>
        </w:rPr>
        <w:footnoteRef/>
      </w:r>
      <w:r w:rsidRPr="008F6A29">
        <w:rPr>
          <w:rFonts w:ascii="Times New Roman" w:hAnsi="Times New Roman" w:cs="Times New Roman"/>
        </w:rPr>
        <w:t xml:space="preserve"> </w:t>
      </w:r>
      <w:r w:rsidR="006D172E" w:rsidRPr="00040AA3">
        <w:rPr>
          <w:rFonts w:ascii="Times New Roman" w:hAnsi="Times New Roman" w:cs="Times New Roman"/>
        </w:rPr>
        <w:t xml:space="preserve">This phraseology is drawn from the work of </w:t>
      </w:r>
      <w:r w:rsidRPr="008F6A29">
        <w:rPr>
          <w:rFonts w:ascii="Times New Roman" w:hAnsi="Times New Roman" w:cs="Times New Roman"/>
        </w:rPr>
        <w:t xml:space="preserve">Elizabeth F. </w:t>
      </w:r>
      <w:proofErr w:type="spellStart"/>
      <w:r w:rsidRPr="008F6A29">
        <w:rPr>
          <w:rFonts w:ascii="Times New Roman" w:hAnsi="Times New Roman" w:cs="Times New Roman"/>
        </w:rPr>
        <w:t>Emens</w:t>
      </w:r>
      <w:proofErr w:type="spellEnd"/>
      <w:r w:rsidRPr="008F6A29">
        <w:rPr>
          <w:rFonts w:ascii="Times New Roman" w:hAnsi="Times New Roman" w:cs="Times New Roman"/>
        </w:rPr>
        <w:t>,</w:t>
      </w:r>
      <w:r w:rsidR="006D172E" w:rsidRPr="00040AA3">
        <w:rPr>
          <w:rFonts w:ascii="Times New Roman" w:hAnsi="Times New Roman" w:cs="Times New Roman"/>
        </w:rPr>
        <w:t xml:space="preserve"> looking at a similar debate with respect to monogamy, polyamory and polygamy:</w:t>
      </w:r>
      <w:r w:rsidRPr="008F6A29">
        <w:rPr>
          <w:rFonts w:ascii="Times New Roman" w:hAnsi="Times New Roman" w:cs="Times New Roman"/>
        </w:rPr>
        <w:t xml:space="preserve"> “Monogamy’s Law: Compulsory Monogamy and Polyamorous Ex</w:t>
      </w:r>
      <w:r w:rsidR="002D1B91">
        <w:rPr>
          <w:rFonts w:ascii="Times New Roman" w:hAnsi="Times New Roman" w:cs="Times New Roman"/>
        </w:rPr>
        <w:t xml:space="preserve">istence” (2004) 29 </w:t>
      </w:r>
      <w:r w:rsidR="002D1B91" w:rsidRPr="002D1B91">
        <w:rPr>
          <w:rFonts w:ascii="Times New Roman" w:hAnsi="Times New Roman" w:cs="Times New Roman"/>
          <w:i/>
        </w:rPr>
        <w:t>N.Y.U. Rev.</w:t>
      </w:r>
      <w:r w:rsidRPr="002D1B91">
        <w:rPr>
          <w:rFonts w:ascii="Times New Roman" w:hAnsi="Times New Roman" w:cs="Times New Roman"/>
          <w:i/>
        </w:rPr>
        <w:t xml:space="preserve"> of Law and Social Change</w:t>
      </w:r>
      <w:r w:rsidRPr="008F6A29">
        <w:rPr>
          <w:rFonts w:ascii="Times New Roman" w:hAnsi="Times New Roman" w:cs="Times New Roman"/>
        </w:rPr>
        <w:t xml:space="preserve"> 277-376 at 278.</w:t>
      </w:r>
    </w:p>
  </w:footnote>
  <w:footnote w:id="109">
    <w:p w14:paraId="28C3CC48" w14:textId="104F36CF" w:rsidR="002E3B48" w:rsidRPr="002D1B91" w:rsidRDefault="005B36CD" w:rsidP="008F6A29">
      <w:pPr>
        <w:pStyle w:val="Heading3"/>
        <w:shd w:val="clear" w:color="auto" w:fill="FFFFFF"/>
        <w:spacing w:before="0" w:after="120"/>
        <w:rPr>
          <w:rFonts w:ascii="Times New Roman" w:eastAsia="Times New Roman" w:hAnsi="Times New Roman" w:cs="Times New Roman"/>
          <w:color w:val="auto"/>
          <w:sz w:val="20"/>
          <w:szCs w:val="20"/>
        </w:rPr>
      </w:pPr>
      <w:r w:rsidRPr="002D1B91">
        <w:rPr>
          <w:rStyle w:val="FootnoteReference"/>
          <w:rFonts w:ascii="Times New Roman" w:hAnsi="Times New Roman" w:cs="Times New Roman"/>
          <w:color w:val="auto"/>
          <w:sz w:val="20"/>
          <w:szCs w:val="20"/>
        </w:rPr>
        <w:footnoteRef/>
      </w:r>
      <w:r w:rsidRPr="002D1B91">
        <w:rPr>
          <w:rFonts w:ascii="Times New Roman" w:hAnsi="Times New Roman" w:cs="Times New Roman"/>
          <w:color w:val="auto"/>
          <w:sz w:val="20"/>
          <w:szCs w:val="20"/>
        </w:rPr>
        <w:t xml:space="preserve"> </w:t>
      </w:r>
      <w:r w:rsidR="002E3B48" w:rsidRPr="002D1B91">
        <w:rPr>
          <w:rFonts w:ascii="Times New Roman" w:hAnsi="Times New Roman" w:cs="Times New Roman"/>
          <w:color w:val="auto"/>
          <w:sz w:val="20"/>
          <w:szCs w:val="20"/>
        </w:rPr>
        <w:t>For a similar reframing</w:t>
      </w:r>
      <w:r w:rsidR="002D1B91">
        <w:rPr>
          <w:rFonts w:ascii="Times New Roman" w:hAnsi="Times New Roman" w:cs="Times New Roman"/>
          <w:color w:val="auto"/>
          <w:sz w:val="20"/>
          <w:szCs w:val="20"/>
        </w:rPr>
        <w:t>,</w:t>
      </w:r>
      <w:r w:rsidR="002E3B48" w:rsidRPr="002D1B91">
        <w:rPr>
          <w:rFonts w:ascii="Times New Roman" w:hAnsi="Times New Roman" w:cs="Times New Roman"/>
          <w:color w:val="auto"/>
          <w:sz w:val="20"/>
          <w:szCs w:val="20"/>
        </w:rPr>
        <w:t xml:space="preserve"> see</w:t>
      </w:r>
      <w:r w:rsidRPr="002D1B91">
        <w:rPr>
          <w:rFonts w:ascii="Times New Roman" w:hAnsi="Times New Roman" w:cs="Times New Roman"/>
          <w:color w:val="auto"/>
          <w:sz w:val="20"/>
          <w:szCs w:val="20"/>
        </w:rPr>
        <w:t xml:space="preserve"> </w:t>
      </w:r>
      <w:r w:rsidR="002E3B48" w:rsidRPr="002D1B91">
        <w:rPr>
          <w:rFonts w:ascii="Times New Roman" w:hAnsi="Times New Roman" w:cs="Times New Roman"/>
          <w:color w:val="auto"/>
          <w:sz w:val="20"/>
          <w:szCs w:val="20"/>
        </w:rPr>
        <w:t xml:space="preserve">Cowan, </w:t>
      </w:r>
      <w:r w:rsidR="002D1B91">
        <w:rPr>
          <w:rFonts w:ascii="Times New Roman" w:hAnsi="Times New Roman" w:cs="Times New Roman"/>
          <w:i/>
          <w:color w:val="auto"/>
          <w:sz w:val="20"/>
          <w:szCs w:val="20"/>
        </w:rPr>
        <w:t>supra</w:t>
      </w:r>
      <w:r w:rsidR="002D1B91">
        <w:rPr>
          <w:rFonts w:ascii="Times New Roman" w:hAnsi="Times New Roman" w:cs="Times New Roman"/>
          <w:color w:val="auto"/>
          <w:sz w:val="20"/>
          <w:szCs w:val="20"/>
        </w:rPr>
        <w:t xml:space="preserve"> note 52</w:t>
      </w:r>
      <w:r w:rsidR="00040AA3" w:rsidRPr="002D1B91">
        <w:rPr>
          <w:rFonts w:ascii="Times New Roman" w:eastAsia="Times New Roman" w:hAnsi="Times New Roman" w:cs="Times New Roman"/>
          <w:color w:val="auto"/>
          <w:sz w:val="20"/>
          <w:szCs w:val="20"/>
        </w:rPr>
        <w:t xml:space="preserve"> at 188.</w:t>
      </w:r>
    </w:p>
    <w:p w14:paraId="6EADC038" w14:textId="7A80BBF2" w:rsidR="005B36CD" w:rsidRPr="008F6A29" w:rsidRDefault="005B36CD">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280F" w14:textId="7DBC2D25" w:rsidR="00454D90" w:rsidRDefault="00454D90" w:rsidP="00454D90">
    <w:pPr>
      <w:pStyle w:val="Header"/>
      <w:tabs>
        <w:tab w:val="clear" w:pos="4680"/>
      </w:tabs>
    </w:pPr>
    <w:r>
      <w:t>Gillian Calder</w:t>
    </w:r>
    <w:r>
      <w:tab/>
      <w:t>Special Issue Review</w:t>
    </w:r>
  </w:p>
  <w:p w14:paraId="371CD1EA" w14:textId="4B16306B" w:rsidR="00454D90" w:rsidRDefault="00454D90" w:rsidP="00454D90">
    <w:pPr>
      <w:pStyle w:val="Header"/>
      <w:tabs>
        <w:tab w:val="clear" w:pos="4680"/>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6895"/>
      <w:docPartObj>
        <w:docPartGallery w:val="Page Numbers (Top of Page)"/>
        <w:docPartUnique/>
      </w:docPartObj>
    </w:sdtPr>
    <w:sdtEndPr>
      <w:rPr>
        <w:noProof/>
      </w:rPr>
    </w:sdtEndPr>
    <w:sdtContent>
      <w:p w14:paraId="5467ED8C" w14:textId="77777777" w:rsidR="00454D90" w:rsidRDefault="00454D90" w:rsidP="00454D90">
        <w:pPr>
          <w:pStyle w:val="Header"/>
          <w:tabs>
            <w:tab w:val="clear" w:pos="4680"/>
          </w:tabs>
        </w:pPr>
        <w:proofErr w:type="spellStart"/>
        <w:r>
          <w:rPr>
            <w:i/>
          </w:rPr>
          <w:t>feminists@law</w:t>
        </w:r>
        <w:proofErr w:type="spellEnd"/>
        <w:r>
          <w:tab/>
          <w:t>Vol 11, No 1 (2022)</w:t>
        </w:r>
      </w:p>
      <w:p w14:paraId="3A6AFE26" w14:textId="59E25F3F" w:rsidR="007D6A93" w:rsidRDefault="00454D90" w:rsidP="00454D90">
        <w:pPr>
          <w:pStyle w:val="Header"/>
          <w:tabs>
            <w:tab w:val="clear" w:pos="4680"/>
          </w:tabs>
        </w:pPr>
        <w:r>
          <w:t>_____________________________________________________________________________________</w:t>
        </w:r>
      </w:p>
    </w:sdtContent>
  </w:sdt>
  <w:p w14:paraId="35A4CD4C" w14:textId="77777777" w:rsidR="007D6A93" w:rsidRDefault="007D6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8D3"/>
    <w:multiLevelType w:val="multilevel"/>
    <w:tmpl w:val="6B4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4062B"/>
    <w:multiLevelType w:val="multilevel"/>
    <w:tmpl w:val="C5283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B5777"/>
    <w:multiLevelType w:val="multilevel"/>
    <w:tmpl w:val="86201B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BD0C22"/>
    <w:multiLevelType w:val="multilevel"/>
    <w:tmpl w:val="39B89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014A63"/>
    <w:multiLevelType w:val="multilevel"/>
    <w:tmpl w:val="0A48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E35FB"/>
    <w:multiLevelType w:val="multilevel"/>
    <w:tmpl w:val="4A7E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56A7B"/>
    <w:multiLevelType w:val="hybridMultilevel"/>
    <w:tmpl w:val="3EEC70A8"/>
    <w:lvl w:ilvl="0" w:tplc="AFA8663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AC"/>
    <w:rsid w:val="00016FE1"/>
    <w:rsid w:val="0002484F"/>
    <w:rsid w:val="000263DC"/>
    <w:rsid w:val="00040AA3"/>
    <w:rsid w:val="00044E9B"/>
    <w:rsid w:val="00045B3D"/>
    <w:rsid w:val="00047C1C"/>
    <w:rsid w:val="000529AC"/>
    <w:rsid w:val="0005517A"/>
    <w:rsid w:val="0006088E"/>
    <w:rsid w:val="0006133D"/>
    <w:rsid w:val="00062C42"/>
    <w:rsid w:val="00070890"/>
    <w:rsid w:val="000710B0"/>
    <w:rsid w:val="000711AF"/>
    <w:rsid w:val="000731F3"/>
    <w:rsid w:val="000746B4"/>
    <w:rsid w:val="00074851"/>
    <w:rsid w:val="00081096"/>
    <w:rsid w:val="00081757"/>
    <w:rsid w:val="00086310"/>
    <w:rsid w:val="00087850"/>
    <w:rsid w:val="000901D6"/>
    <w:rsid w:val="000962AD"/>
    <w:rsid w:val="000966EF"/>
    <w:rsid w:val="000A5F24"/>
    <w:rsid w:val="000B0647"/>
    <w:rsid w:val="000B0CD5"/>
    <w:rsid w:val="000B4E0D"/>
    <w:rsid w:val="000C218E"/>
    <w:rsid w:val="000C483A"/>
    <w:rsid w:val="000C6CE3"/>
    <w:rsid w:val="000D70F6"/>
    <w:rsid w:val="000E2E8C"/>
    <w:rsid w:val="000F01F2"/>
    <w:rsid w:val="000F0A61"/>
    <w:rsid w:val="000F1301"/>
    <w:rsid w:val="000F3220"/>
    <w:rsid w:val="000F6AEA"/>
    <w:rsid w:val="00115C37"/>
    <w:rsid w:val="0011763D"/>
    <w:rsid w:val="00121075"/>
    <w:rsid w:val="001300A6"/>
    <w:rsid w:val="00131995"/>
    <w:rsid w:val="001343EB"/>
    <w:rsid w:val="0014167B"/>
    <w:rsid w:val="0015175A"/>
    <w:rsid w:val="001603FB"/>
    <w:rsid w:val="00174284"/>
    <w:rsid w:val="00182B7D"/>
    <w:rsid w:val="00192BAF"/>
    <w:rsid w:val="001959F4"/>
    <w:rsid w:val="00195A86"/>
    <w:rsid w:val="001A293A"/>
    <w:rsid w:val="001A75A6"/>
    <w:rsid w:val="001B3603"/>
    <w:rsid w:val="001B3E8B"/>
    <w:rsid w:val="001B3F35"/>
    <w:rsid w:val="001B4559"/>
    <w:rsid w:val="001B5F05"/>
    <w:rsid w:val="001C1FBF"/>
    <w:rsid w:val="001C7506"/>
    <w:rsid w:val="001C76C7"/>
    <w:rsid w:val="001D4105"/>
    <w:rsid w:val="001E1134"/>
    <w:rsid w:val="001E2C99"/>
    <w:rsid w:val="001F3084"/>
    <w:rsid w:val="00227DF4"/>
    <w:rsid w:val="00232939"/>
    <w:rsid w:val="00240B50"/>
    <w:rsid w:val="00242042"/>
    <w:rsid w:val="002558A4"/>
    <w:rsid w:val="002620BF"/>
    <w:rsid w:val="00264E3E"/>
    <w:rsid w:val="002720E6"/>
    <w:rsid w:val="00275618"/>
    <w:rsid w:val="00280B1F"/>
    <w:rsid w:val="00293E21"/>
    <w:rsid w:val="00295569"/>
    <w:rsid w:val="00296A70"/>
    <w:rsid w:val="002A6E73"/>
    <w:rsid w:val="002B3FC0"/>
    <w:rsid w:val="002C30E8"/>
    <w:rsid w:val="002C6932"/>
    <w:rsid w:val="002D1B91"/>
    <w:rsid w:val="002D2EC7"/>
    <w:rsid w:val="002D551C"/>
    <w:rsid w:val="002E3950"/>
    <w:rsid w:val="002E3B48"/>
    <w:rsid w:val="00301F13"/>
    <w:rsid w:val="00311A5E"/>
    <w:rsid w:val="00311B59"/>
    <w:rsid w:val="00311B7A"/>
    <w:rsid w:val="003157DA"/>
    <w:rsid w:val="00324D92"/>
    <w:rsid w:val="0033008C"/>
    <w:rsid w:val="0033148B"/>
    <w:rsid w:val="003317A1"/>
    <w:rsid w:val="003348AE"/>
    <w:rsid w:val="00334C5D"/>
    <w:rsid w:val="003418ED"/>
    <w:rsid w:val="0035004F"/>
    <w:rsid w:val="003679CC"/>
    <w:rsid w:val="003A4022"/>
    <w:rsid w:val="003A6A67"/>
    <w:rsid w:val="003B40D8"/>
    <w:rsid w:val="003B4F94"/>
    <w:rsid w:val="003C1E23"/>
    <w:rsid w:val="003C4777"/>
    <w:rsid w:val="003C739E"/>
    <w:rsid w:val="003D74F7"/>
    <w:rsid w:val="003E5803"/>
    <w:rsid w:val="0040574B"/>
    <w:rsid w:val="00412159"/>
    <w:rsid w:val="00413BB6"/>
    <w:rsid w:val="004220DD"/>
    <w:rsid w:val="00441426"/>
    <w:rsid w:val="00442A25"/>
    <w:rsid w:val="00443754"/>
    <w:rsid w:val="00445EA7"/>
    <w:rsid w:val="00454D90"/>
    <w:rsid w:val="00473E71"/>
    <w:rsid w:val="00482132"/>
    <w:rsid w:val="004B1674"/>
    <w:rsid w:val="004B38CF"/>
    <w:rsid w:val="004C25E3"/>
    <w:rsid w:val="004C48D3"/>
    <w:rsid w:val="004C76D4"/>
    <w:rsid w:val="004D3120"/>
    <w:rsid w:val="004D55EF"/>
    <w:rsid w:val="004E2255"/>
    <w:rsid w:val="004E4599"/>
    <w:rsid w:val="004E5E61"/>
    <w:rsid w:val="005007D5"/>
    <w:rsid w:val="00500EB1"/>
    <w:rsid w:val="005027C9"/>
    <w:rsid w:val="005106E7"/>
    <w:rsid w:val="00511497"/>
    <w:rsid w:val="005133D5"/>
    <w:rsid w:val="00513C31"/>
    <w:rsid w:val="005150E9"/>
    <w:rsid w:val="00523B15"/>
    <w:rsid w:val="0052513D"/>
    <w:rsid w:val="00525C50"/>
    <w:rsid w:val="0054062B"/>
    <w:rsid w:val="00555F5B"/>
    <w:rsid w:val="005560C8"/>
    <w:rsid w:val="005621C3"/>
    <w:rsid w:val="00562E02"/>
    <w:rsid w:val="00566EC4"/>
    <w:rsid w:val="005674FF"/>
    <w:rsid w:val="00570413"/>
    <w:rsid w:val="00576C71"/>
    <w:rsid w:val="00583D25"/>
    <w:rsid w:val="005926DC"/>
    <w:rsid w:val="005B36CD"/>
    <w:rsid w:val="005B7644"/>
    <w:rsid w:val="005C022E"/>
    <w:rsid w:val="005C0F6F"/>
    <w:rsid w:val="005C21F5"/>
    <w:rsid w:val="005D429A"/>
    <w:rsid w:val="005D7D20"/>
    <w:rsid w:val="005E25B6"/>
    <w:rsid w:val="005E424D"/>
    <w:rsid w:val="005F09DB"/>
    <w:rsid w:val="005F3342"/>
    <w:rsid w:val="00612FA0"/>
    <w:rsid w:val="006142C8"/>
    <w:rsid w:val="00625C13"/>
    <w:rsid w:val="00627BAB"/>
    <w:rsid w:val="00632B56"/>
    <w:rsid w:val="00641E82"/>
    <w:rsid w:val="00642CF5"/>
    <w:rsid w:val="00644076"/>
    <w:rsid w:val="0064507C"/>
    <w:rsid w:val="006457E1"/>
    <w:rsid w:val="00652474"/>
    <w:rsid w:val="00653FAC"/>
    <w:rsid w:val="006631F0"/>
    <w:rsid w:val="00663CAB"/>
    <w:rsid w:val="006758EC"/>
    <w:rsid w:val="00697996"/>
    <w:rsid w:val="006A10E8"/>
    <w:rsid w:val="006A7285"/>
    <w:rsid w:val="006B1D2B"/>
    <w:rsid w:val="006B425C"/>
    <w:rsid w:val="006C651B"/>
    <w:rsid w:val="006D172E"/>
    <w:rsid w:val="006D6888"/>
    <w:rsid w:val="006D7705"/>
    <w:rsid w:val="006E012A"/>
    <w:rsid w:val="006E3686"/>
    <w:rsid w:val="006F0163"/>
    <w:rsid w:val="006F25E0"/>
    <w:rsid w:val="006F5151"/>
    <w:rsid w:val="007064AA"/>
    <w:rsid w:val="00710299"/>
    <w:rsid w:val="00715266"/>
    <w:rsid w:val="007220F2"/>
    <w:rsid w:val="0072270E"/>
    <w:rsid w:val="00733774"/>
    <w:rsid w:val="00734AF7"/>
    <w:rsid w:val="0073640B"/>
    <w:rsid w:val="0075157C"/>
    <w:rsid w:val="007639DB"/>
    <w:rsid w:val="00797093"/>
    <w:rsid w:val="007A2E35"/>
    <w:rsid w:val="007A45F6"/>
    <w:rsid w:val="007D565C"/>
    <w:rsid w:val="007D6A93"/>
    <w:rsid w:val="007E245A"/>
    <w:rsid w:val="007F2333"/>
    <w:rsid w:val="007F3667"/>
    <w:rsid w:val="008100C5"/>
    <w:rsid w:val="00812AEE"/>
    <w:rsid w:val="00816FDC"/>
    <w:rsid w:val="00841BBF"/>
    <w:rsid w:val="008437DF"/>
    <w:rsid w:val="00844096"/>
    <w:rsid w:val="00845C59"/>
    <w:rsid w:val="00847D7A"/>
    <w:rsid w:val="00850E7A"/>
    <w:rsid w:val="00854F5F"/>
    <w:rsid w:val="008570E2"/>
    <w:rsid w:val="008574D6"/>
    <w:rsid w:val="00861FE5"/>
    <w:rsid w:val="0086480F"/>
    <w:rsid w:val="00864D42"/>
    <w:rsid w:val="008658DB"/>
    <w:rsid w:val="00875CFE"/>
    <w:rsid w:val="00893C47"/>
    <w:rsid w:val="008B44A1"/>
    <w:rsid w:val="008C0C47"/>
    <w:rsid w:val="008C3013"/>
    <w:rsid w:val="008C354B"/>
    <w:rsid w:val="008D2890"/>
    <w:rsid w:val="008D64F6"/>
    <w:rsid w:val="008F0070"/>
    <w:rsid w:val="008F6A29"/>
    <w:rsid w:val="00900D25"/>
    <w:rsid w:val="00903BA2"/>
    <w:rsid w:val="009054BF"/>
    <w:rsid w:val="00906E83"/>
    <w:rsid w:val="00911554"/>
    <w:rsid w:val="00923EB8"/>
    <w:rsid w:val="00927ECF"/>
    <w:rsid w:val="00930008"/>
    <w:rsid w:val="00931227"/>
    <w:rsid w:val="00931FFF"/>
    <w:rsid w:val="00932219"/>
    <w:rsid w:val="00937112"/>
    <w:rsid w:val="00941B51"/>
    <w:rsid w:val="00941D06"/>
    <w:rsid w:val="00945001"/>
    <w:rsid w:val="00955B7B"/>
    <w:rsid w:val="0096066C"/>
    <w:rsid w:val="00966560"/>
    <w:rsid w:val="00966C07"/>
    <w:rsid w:val="00974751"/>
    <w:rsid w:val="00974A1C"/>
    <w:rsid w:val="0097524F"/>
    <w:rsid w:val="009769E3"/>
    <w:rsid w:val="00986243"/>
    <w:rsid w:val="00994E5C"/>
    <w:rsid w:val="009B2186"/>
    <w:rsid w:val="009B5059"/>
    <w:rsid w:val="009C166B"/>
    <w:rsid w:val="009C4C58"/>
    <w:rsid w:val="009D34B2"/>
    <w:rsid w:val="009E6FF2"/>
    <w:rsid w:val="00A027BA"/>
    <w:rsid w:val="00A11BC1"/>
    <w:rsid w:val="00A259AA"/>
    <w:rsid w:val="00A26DDD"/>
    <w:rsid w:val="00A341ED"/>
    <w:rsid w:val="00A42254"/>
    <w:rsid w:val="00A453F2"/>
    <w:rsid w:val="00A455E3"/>
    <w:rsid w:val="00A60ACA"/>
    <w:rsid w:val="00A610F0"/>
    <w:rsid w:val="00A611D6"/>
    <w:rsid w:val="00A65D06"/>
    <w:rsid w:val="00A77AB3"/>
    <w:rsid w:val="00A804AD"/>
    <w:rsid w:val="00A96F42"/>
    <w:rsid w:val="00AA2176"/>
    <w:rsid w:val="00AA7261"/>
    <w:rsid w:val="00AB60DE"/>
    <w:rsid w:val="00AC2A9B"/>
    <w:rsid w:val="00AD1060"/>
    <w:rsid w:val="00AD4EBC"/>
    <w:rsid w:val="00AF32BC"/>
    <w:rsid w:val="00AF392D"/>
    <w:rsid w:val="00AF479B"/>
    <w:rsid w:val="00AF7185"/>
    <w:rsid w:val="00B02735"/>
    <w:rsid w:val="00B05ED9"/>
    <w:rsid w:val="00B12FB4"/>
    <w:rsid w:val="00B13F8A"/>
    <w:rsid w:val="00B2123E"/>
    <w:rsid w:val="00B32EA2"/>
    <w:rsid w:val="00B3403C"/>
    <w:rsid w:val="00B36CDA"/>
    <w:rsid w:val="00B415F6"/>
    <w:rsid w:val="00B6035F"/>
    <w:rsid w:val="00B64EA1"/>
    <w:rsid w:val="00B71358"/>
    <w:rsid w:val="00B73AAE"/>
    <w:rsid w:val="00B7468E"/>
    <w:rsid w:val="00B748D9"/>
    <w:rsid w:val="00B760D1"/>
    <w:rsid w:val="00B767AC"/>
    <w:rsid w:val="00B82B4C"/>
    <w:rsid w:val="00B90D1F"/>
    <w:rsid w:val="00B9396F"/>
    <w:rsid w:val="00B94F87"/>
    <w:rsid w:val="00BA239F"/>
    <w:rsid w:val="00BA591D"/>
    <w:rsid w:val="00BB25A0"/>
    <w:rsid w:val="00BB7FD9"/>
    <w:rsid w:val="00BC272D"/>
    <w:rsid w:val="00BC6B7F"/>
    <w:rsid w:val="00BD6388"/>
    <w:rsid w:val="00BF042C"/>
    <w:rsid w:val="00BF1DC9"/>
    <w:rsid w:val="00BF2F84"/>
    <w:rsid w:val="00BF731A"/>
    <w:rsid w:val="00C0633B"/>
    <w:rsid w:val="00C147B9"/>
    <w:rsid w:val="00C40288"/>
    <w:rsid w:val="00C44BE4"/>
    <w:rsid w:val="00C45105"/>
    <w:rsid w:val="00C74AFA"/>
    <w:rsid w:val="00C75D2D"/>
    <w:rsid w:val="00C7761C"/>
    <w:rsid w:val="00C803AB"/>
    <w:rsid w:val="00CA698E"/>
    <w:rsid w:val="00CB693F"/>
    <w:rsid w:val="00CC2388"/>
    <w:rsid w:val="00CC2679"/>
    <w:rsid w:val="00CC3ADF"/>
    <w:rsid w:val="00CD2537"/>
    <w:rsid w:val="00CD612F"/>
    <w:rsid w:val="00CF6183"/>
    <w:rsid w:val="00CF6EFB"/>
    <w:rsid w:val="00D03B36"/>
    <w:rsid w:val="00D16D4E"/>
    <w:rsid w:val="00D3072A"/>
    <w:rsid w:val="00D32974"/>
    <w:rsid w:val="00D33DF9"/>
    <w:rsid w:val="00D40443"/>
    <w:rsid w:val="00D40DC0"/>
    <w:rsid w:val="00D50E3E"/>
    <w:rsid w:val="00D53B59"/>
    <w:rsid w:val="00D62552"/>
    <w:rsid w:val="00D72CFE"/>
    <w:rsid w:val="00D81B62"/>
    <w:rsid w:val="00D83B80"/>
    <w:rsid w:val="00D84B0C"/>
    <w:rsid w:val="00D96B5D"/>
    <w:rsid w:val="00DA1F15"/>
    <w:rsid w:val="00DA2692"/>
    <w:rsid w:val="00DA47DA"/>
    <w:rsid w:val="00DA53D4"/>
    <w:rsid w:val="00DB008B"/>
    <w:rsid w:val="00DC1B42"/>
    <w:rsid w:val="00DC365D"/>
    <w:rsid w:val="00DC77D7"/>
    <w:rsid w:val="00DD02C3"/>
    <w:rsid w:val="00DE299F"/>
    <w:rsid w:val="00DF113B"/>
    <w:rsid w:val="00DF1660"/>
    <w:rsid w:val="00DF3EAD"/>
    <w:rsid w:val="00DF69DE"/>
    <w:rsid w:val="00E02E0B"/>
    <w:rsid w:val="00E20C90"/>
    <w:rsid w:val="00E23DE0"/>
    <w:rsid w:val="00E24F99"/>
    <w:rsid w:val="00E31D71"/>
    <w:rsid w:val="00E320C8"/>
    <w:rsid w:val="00E32750"/>
    <w:rsid w:val="00E369A7"/>
    <w:rsid w:val="00E379FB"/>
    <w:rsid w:val="00E5018D"/>
    <w:rsid w:val="00E6160C"/>
    <w:rsid w:val="00E879F7"/>
    <w:rsid w:val="00E91EEA"/>
    <w:rsid w:val="00E97AE3"/>
    <w:rsid w:val="00EA36C1"/>
    <w:rsid w:val="00EA719C"/>
    <w:rsid w:val="00EB1354"/>
    <w:rsid w:val="00EB2EA9"/>
    <w:rsid w:val="00EB4872"/>
    <w:rsid w:val="00EB52D2"/>
    <w:rsid w:val="00EC2840"/>
    <w:rsid w:val="00EC6018"/>
    <w:rsid w:val="00EC63A6"/>
    <w:rsid w:val="00ED13F8"/>
    <w:rsid w:val="00EF3385"/>
    <w:rsid w:val="00EF4668"/>
    <w:rsid w:val="00EF740F"/>
    <w:rsid w:val="00F02980"/>
    <w:rsid w:val="00F17052"/>
    <w:rsid w:val="00F21E17"/>
    <w:rsid w:val="00F23AFB"/>
    <w:rsid w:val="00F417D8"/>
    <w:rsid w:val="00F53927"/>
    <w:rsid w:val="00F54267"/>
    <w:rsid w:val="00F571D7"/>
    <w:rsid w:val="00F65457"/>
    <w:rsid w:val="00F8127E"/>
    <w:rsid w:val="00F90026"/>
    <w:rsid w:val="00F944BB"/>
    <w:rsid w:val="00FA2784"/>
    <w:rsid w:val="00FA30A1"/>
    <w:rsid w:val="00FA5E79"/>
    <w:rsid w:val="00FB3FF1"/>
    <w:rsid w:val="00FB7247"/>
    <w:rsid w:val="00FD35BD"/>
    <w:rsid w:val="00FD46D8"/>
    <w:rsid w:val="00FE46DE"/>
    <w:rsid w:val="00FF3CD4"/>
    <w:rsid w:val="00FF5D7E"/>
    <w:rsid w:val="00FF6A29"/>
    <w:rsid w:val="00FF6B41"/>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9B7F9"/>
  <w15:chartTrackingRefBased/>
  <w15:docId w15:val="{51321AE3-CB58-4A75-A5AA-AA131AF2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E2C99"/>
    <w:pPr>
      <w:spacing w:after="0" w:line="24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1E2C99"/>
    <w:pPr>
      <w:spacing w:after="0" w:line="360"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2E3B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23A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3AFB"/>
    <w:rPr>
      <w:sz w:val="20"/>
      <w:szCs w:val="20"/>
    </w:rPr>
  </w:style>
  <w:style w:type="character" w:styleId="EndnoteReference">
    <w:name w:val="endnote reference"/>
    <w:basedOn w:val="DefaultParagraphFont"/>
    <w:uiPriority w:val="99"/>
    <w:semiHidden/>
    <w:unhideWhenUsed/>
    <w:rsid w:val="00F23AFB"/>
    <w:rPr>
      <w:vertAlign w:val="superscript"/>
    </w:rPr>
  </w:style>
  <w:style w:type="paragraph" w:styleId="FootnoteText">
    <w:name w:val="footnote text"/>
    <w:basedOn w:val="Normal"/>
    <w:link w:val="FootnoteTextChar"/>
    <w:uiPriority w:val="99"/>
    <w:unhideWhenUsed/>
    <w:rsid w:val="00F23AFB"/>
    <w:pPr>
      <w:spacing w:after="0" w:line="240" w:lineRule="auto"/>
    </w:pPr>
    <w:rPr>
      <w:sz w:val="20"/>
      <w:szCs w:val="20"/>
    </w:rPr>
  </w:style>
  <w:style w:type="character" w:customStyle="1" w:styleId="FootnoteTextChar">
    <w:name w:val="Footnote Text Char"/>
    <w:basedOn w:val="DefaultParagraphFont"/>
    <w:link w:val="FootnoteText"/>
    <w:uiPriority w:val="99"/>
    <w:rsid w:val="00F23AFB"/>
    <w:rPr>
      <w:sz w:val="20"/>
      <w:szCs w:val="20"/>
    </w:rPr>
  </w:style>
  <w:style w:type="character" w:styleId="FootnoteReference">
    <w:name w:val="footnote reference"/>
    <w:basedOn w:val="DefaultParagraphFont"/>
    <w:uiPriority w:val="99"/>
    <w:semiHidden/>
    <w:unhideWhenUsed/>
    <w:rsid w:val="00F23AFB"/>
    <w:rPr>
      <w:vertAlign w:val="superscript"/>
    </w:rPr>
  </w:style>
  <w:style w:type="character" w:styleId="Hyperlink">
    <w:name w:val="Hyperlink"/>
    <w:basedOn w:val="DefaultParagraphFont"/>
    <w:uiPriority w:val="99"/>
    <w:unhideWhenUsed/>
    <w:rsid w:val="00994E5C"/>
    <w:rPr>
      <w:color w:val="0563C1" w:themeColor="hyperlink"/>
      <w:u w:val="single"/>
    </w:rPr>
  </w:style>
  <w:style w:type="paragraph" w:styleId="Header">
    <w:name w:val="header"/>
    <w:basedOn w:val="Normal"/>
    <w:link w:val="HeaderChar"/>
    <w:uiPriority w:val="99"/>
    <w:unhideWhenUsed/>
    <w:rsid w:val="0084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D7A"/>
  </w:style>
  <w:style w:type="paragraph" w:styleId="Footer">
    <w:name w:val="footer"/>
    <w:basedOn w:val="Normal"/>
    <w:link w:val="FooterChar"/>
    <w:uiPriority w:val="99"/>
    <w:unhideWhenUsed/>
    <w:rsid w:val="0084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D7A"/>
  </w:style>
  <w:style w:type="paragraph" w:styleId="ListParagraph">
    <w:name w:val="List Paragraph"/>
    <w:basedOn w:val="Normal"/>
    <w:uiPriority w:val="34"/>
    <w:qFormat/>
    <w:rsid w:val="00FB7247"/>
    <w:pPr>
      <w:ind w:left="720"/>
      <w:contextualSpacing/>
    </w:pPr>
  </w:style>
  <w:style w:type="character" w:styleId="FollowedHyperlink">
    <w:name w:val="FollowedHyperlink"/>
    <w:basedOn w:val="DefaultParagraphFont"/>
    <w:uiPriority w:val="99"/>
    <w:semiHidden/>
    <w:unhideWhenUsed/>
    <w:rsid w:val="00966560"/>
    <w:rPr>
      <w:color w:val="954F72" w:themeColor="followedHyperlink"/>
      <w:u w:val="single"/>
    </w:rPr>
  </w:style>
  <w:style w:type="character" w:customStyle="1" w:styleId="UnresolvedMention1">
    <w:name w:val="Unresolved Mention1"/>
    <w:basedOn w:val="DefaultParagraphFont"/>
    <w:uiPriority w:val="99"/>
    <w:semiHidden/>
    <w:unhideWhenUsed/>
    <w:rsid w:val="00966560"/>
    <w:rPr>
      <w:color w:val="605E5C"/>
      <w:shd w:val="clear" w:color="auto" w:fill="E1DFDD"/>
    </w:rPr>
  </w:style>
  <w:style w:type="paragraph" w:styleId="BalloonText">
    <w:name w:val="Balloon Text"/>
    <w:basedOn w:val="Normal"/>
    <w:link w:val="BalloonTextChar"/>
    <w:uiPriority w:val="99"/>
    <w:semiHidden/>
    <w:unhideWhenUsed/>
    <w:rsid w:val="00D53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B59"/>
    <w:rPr>
      <w:rFonts w:ascii="Segoe UI" w:hAnsi="Segoe UI" w:cs="Segoe UI"/>
      <w:sz w:val="18"/>
      <w:szCs w:val="18"/>
    </w:rPr>
  </w:style>
  <w:style w:type="character" w:customStyle="1" w:styleId="Heading1Char">
    <w:name w:val="Heading 1 Char"/>
    <w:basedOn w:val="DefaultParagraphFont"/>
    <w:link w:val="Heading1"/>
    <w:uiPriority w:val="9"/>
    <w:rsid w:val="001E2C99"/>
    <w:rPr>
      <w:rFonts w:ascii="Times New Roman" w:hAnsi="Times New Roman" w:cs="Times New Roman"/>
      <w:b/>
      <w:sz w:val="28"/>
      <w:szCs w:val="28"/>
    </w:rPr>
  </w:style>
  <w:style w:type="character" w:customStyle="1" w:styleId="subtitle-colon">
    <w:name w:val="subtitle-colon"/>
    <w:basedOn w:val="DefaultParagraphFont"/>
    <w:rsid w:val="004D3120"/>
  </w:style>
  <w:style w:type="character" w:customStyle="1" w:styleId="Subtitle1">
    <w:name w:val="Subtitle1"/>
    <w:basedOn w:val="DefaultParagraphFont"/>
    <w:rsid w:val="004D3120"/>
  </w:style>
  <w:style w:type="character" w:customStyle="1" w:styleId="Heading2Char">
    <w:name w:val="Heading 2 Char"/>
    <w:basedOn w:val="DefaultParagraphFont"/>
    <w:link w:val="Heading2"/>
    <w:uiPriority w:val="9"/>
    <w:rsid w:val="001E2C99"/>
    <w:rPr>
      <w:rFonts w:ascii="Times New Roman" w:hAnsi="Times New Roman" w:cs="Times New Roman"/>
      <w:b/>
      <w:sz w:val="24"/>
      <w:szCs w:val="24"/>
    </w:rPr>
  </w:style>
  <w:style w:type="paragraph" w:customStyle="1" w:styleId="test-locationinconferenceproceeding">
    <w:name w:val="test-locationinconferenceproceeding"/>
    <w:basedOn w:val="Normal"/>
    <w:rsid w:val="001D410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booktitle">
    <w:name w:val="booktitle"/>
    <w:basedOn w:val="DefaultParagraphFont"/>
    <w:rsid w:val="001D4105"/>
  </w:style>
  <w:style w:type="character" w:customStyle="1" w:styleId="page-numbers-info">
    <w:name w:val="page-numbers-info"/>
    <w:basedOn w:val="DefaultParagraphFont"/>
    <w:rsid w:val="001D4105"/>
  </w:style>
  <w:style w:type="character" w:customStyle="1" w:styleId="u-inline-block">
    <w:name w:val="u-inline-block"/>
    <w:basedOn w:val="DefaultParagraphFont"/>
    <w:rsid w:val="001D4105"/>
  </w:style>
  <w:style w:type="character" w:customStyle="1" w:styleId="authorsname">
    <w:name w:val="authors__name"/>
    <w:basedOn w:val="DefaultParagraphFont"/>
    <w:rsid w:val="001D4105"/>
  </w:style>
  <w:style w:type="character" w:customStyle="1" w:styleId="authorscontact">
    <w:name w:val="authors__contact"/>
    <w:basedOn w:val="DefaultParagraphFont"/>
    <w:rsid w:val="001D4105"/>
  </w:style>
  <w:style w:type="character" w:customStyle="1" w:styleId="affiliationcount">
    <w:name w:val="affiliation__count"/>
    <w:basedOn w:val="DefaultParagraphFont"/>
    <w:rsid w:val="001D4105"/>
  </w:style>
  <w:style w:type="character" w:customStyle="1" w:styleId="test-render-category">
    <w:name w:val="test-render-category"/>
    <w:basedOn w:val="DefaultParagraphFont"/>
    <w:rsid w:val="001D4105"/>
  </w:style>
  <w:style w:type="character" w:customStyle="1" w:styleId="article-dateslabel">
    <w:name w:val="article-dates__label"/>
    <w:basedOn w:val="DefaultParagraphFont"/>
    <w:rsid w:val="001D4105"/>
  </w:style>
  <w:style w:type="character" w:customStyle="1" w:styleId="article-datesfirst-online">
    <w:name w:val="article-dates__first-online"/>
    <w:basedOn w:val="DefaultParagraphFont"/>
    <w:rsid w:val="001D4105"/>
  </w:style>
  <w:style w:type="character" w:customStyle="1" w:styleId="test-metric-count">
    <w:name w:val="test-metric-count"/>
    <w:basedOn w:val="DefaultParagraphFont"/>
    <w:rsid w:val="001D4105"/>
  </w:style>
  <w:style w:type="character" w:customStyle="1" w:styleId="test-metric-name">
    <w:name w:val="test-metric-name"/>
    <w:basedOn w:val="DefaultParagraphFont"/>
    <w:rsid w:val="001D4105"/>
  </w:style>
  <w:style w:type="character" w:customStyle="1" w:styleId="vol-info">
    <w:name w:val="vol-info"/>
    <w:basedOn w:val="DefaultParagraphFont"/>
    <w:rsid w:val="001D4105"/>
  </w:style>
  <w:style w:type="character" w:styleId="Emphasis">
    <w:name w:val="Emphasis"/>
    <w:basedOn w:val="DefaultParagraphFont"/>
    <w:uiPriority w:val="20"/>
    <w:qFormat/>
    <w:rsid w:val="008100C5"/>
    <w:rPr>
      <w:i/>
      <w:iCs/>
    </w:rPr>
  </w:style>
  <w:style w:type="character" w:styleId="Strong">
    <w:name w:val="Strong"/>
    <w:basedOn w:val="DefaultParagraphFont"/>
    <w:uiPriority w:val="22"/>
    <w:qFormat/>
    <w:rsid w:val="006A7285"/>
    <w:rPr>
      <w:b/>
      <w:bCs/>
    </w:rPr>
  </w:style>
  <w:style w:type="paragraph" w:styleId="Revision">
    <w:name w:val="Revision"/>
    <w:hidden/>
    <w:uiPriority w:val="99"/>
    <w:semiHidden/>
    <w:rsid w:val="003317A1"/>
    <w:pPr>
      <w:spacing w:after="0" w:line="240" w:lineRule="auto"/>
    </w:pPr>
  </w:style>
  <w:style w:type="character" w:customStyle="1" w:styleId="UnresolvedMention2">
    <w:name w:val="Unresolved Mention2"/>
    <w:basedOn w:val="DefaultParagraphFont"/>
    <w:uiPriority w:val="99"/>
    <w:semiHidden/>
    <w:unhideWhenUsed/>
    <w:rsid w:val="005926DC"/>
    <w:rPr>
      <w:color w:val="605E5C"/>
      <w:shd w:val="clear" w:color="auto" w:fill="E1DFDD"/>
    </w:rPr>
  </w:style>
  <w:style w:type="character" w:customStyle="1" w:styleId="Heading3Char">
    <w:name w:val="Heading 3 Char"/>
    <w:basedOn w:val="DefaultParagraphFont"/>
    <w:link w:val="Heading3"/>
    <w:uiPriority w:val="9"/>
    <w:rsid w:val="002E3B48"/>
    <w:rPr>
      <w:rFonts w:asciiTheme="majorHAnsi" w:eastAsiaTheme="majorEastAsia" w:hAnsiTheme="majorHAnsi" w:cstheme="majorBidi"/>
      <w:color w:val="1F4D78" w:themeColor="accent1" w:themeShade="7F"/>
      <w:sz w:val="24"/>
      <w:szCs w:val="24"/>
    </w:rPr>
  </w:style>
  <w:style w:type="paragraph" w:customStyle="1" w:styleId="u-text-md">
    <w:name w:val="u-text-md"/>
    <w:basedOn w:val="Normal"/>
    <w:rsid w:val="002E3B4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2333"/>
    <w:rPr>
      <w:sz w:val="16"/>
      <w:szCs w:val="16"/>
    </w:rPr>
  </w:style>
  <w:style w:type="paragraph" w:styleId="CommentText">
    <w:name w:val="annotation text"/>
    <w:basedOn w:val="Normal"/>
    <w:link w:val="CommentTextChar"/>
    <w:uiPriority w:val="99"/>
    <w:semiHidden/>
    <w:unhideWhenUsed/>
    <w:rsid w:val="007F2333"/>
    <w:pPr>
      <w:spacing w:line="240" w:lineRule="auto"/>
    </w:pPr>
    <w:rPr>
      <w:sz w:val="20"/>
      <w:szCs w:val="20"/>
    </w:rPr>
  </w:style>
  <w:style w:type="character" w:customStyle="1" w:styleId="CommentTextChar">
    <w:name w:val="Comment Text Char"/>
    <w:basedOn w:val="DefaultParagraphFont"/>
    <w:link w:val="CommentText"/>
    <w:uiPriority w:val="99"/>
    <w:semiHidden/>
    <w:rsid w:val="007F2333"/>
    <w:rPr>
      <w:sz w:val="20"/>
      <w:szCs w:val="20"/>
    </w:rPr>
  </w:style>
  <w:style w:type="paragraph" w:styleId="CommentSubject">
    <w:name w:val="annotation subject"/>
    <w:basedOn w:val="CommentText"/>
    <w:next w:val="CommentText"/>
    <w:link w:val="CommentSubjectChar"/>
    <w:uiPriority w:val="99"/>
    <w:semiHidden/>
    <w:unhideWhenUsed/>
    <w:rsid w:val="007F2333"/>
    <w:rPr>
      <w:b/>
      <w:bCs/>
    </w:rPr>
  </w:style>
  <w:style w:type="character" w:customStyle="1" w:styleId="CommentSubjectChar">
    <w:name w:val="Comment Subject Char"/>
    <w:basedOn w:val="CommentTextChar"/>
    <w:link w:val="CommentSubject"/>
    <w:uiPriority w:val="99"/>
    <w:semiHidden/>
    <w:rsid w:val="007F23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1199">
      <w:bodyDiv w:val="1"/>
      <w:marLeft w:val="0"/>
      <w:marRight w:val="0"/>
      <w:marTop w:val="0"/>
      <w:marBottom w:val="0"/>
      <w:divBdr>
        <w:top w:val="none" w:sz="0" w:space="0" w:color="auto"/>
        <w:left w:val="none" w:sz="0" w:space="0" w:color="auto"/>
        <w:bottom w:val="none" w:sz="0" w:space="0" w:color="auto"/>
        <w:right w:val="none" w:sz="0" w:space="0" w:color="auto"/>
      </w:divBdr>
    </w:div>
    <w:div w:id="256985984">
      <w:bodyDiv w:val="1"/>
      <w:marLeft w:val="0"/>
      <w:marRight w:val="0"/>
      <w:marTop w:val="0"/>
      <w:marBottom w:val="0"/>
      <w:divBdr>
        <w:top w:val="none" w:sz="0" w:space="0" w:color="auto"/>
        <w:left w:val="none" w:sz="0" w:space="0" w:color="auto"/>
        <w:bottom w:val="none" w:sz="0" w:space="0" w:color="auto"/>
        <w:right w:val="none" w:sz="0" w:space="0" w:color="auto"/>
      </w:divBdr>
    </w:div>
    <w:div w:id="298649579">
      <w:bodyDiv w:val="1"/>
      <w:marLeft w:val="0"/>
      <w:marRight w:val="0"/>
      <w:marTop w:val="0"/>
      <w:marBottom w:val="0"/>
      <w:divBdr>
        <w:top w:val="none" w:sz="0" w:space="0" w:color="auto"/>
        <w:left w:val="none" w:sz="0" w:space="0" w:color="auto"/>
        <w:bottom w:val="none" w:sz="0" w:space="0" w:color="auto"/>
        <w:right w:val="none" w:sz="0" w:space="0" w:color="auto"/>
      </w:divBdr>
    </w:div>
    <w:div w:id="313338684">
      <w:bodyDiv w:val="1"/>
      <w:marLeft w:val="0"/>
      <w:marRight w:val="0"/>
      <w:marTop w:val="0"/>
      <w:marBottom w:val="0"/>
      <w:divBdr>
        <w:top w:val="none" w:sz="0" w:space="0" w:color="auto"/>
        <w:left w:val="none" w:sz="0" w:space="0" w:color="auto"/>
        <w:bottom w:val="none" w:sz="0" w:space="0" w:color="auto"/>
        <w:right w:val="none" w:sz="0" w:space="0" w:color="auto"/>
      </w:divBdr>
    </w:div>
    <w:div w:id="610741448">
      <w:bodyDiv w:val="1"/>
      <w:marLeft w:val="0"/>
      <w:marRight w:val="0"/>
      <w:marTop w:val="0"/>
      <w:marBottom w:val="0"/>
      <w:divBdr>
        <w:top w:val="none" w:sz="0" w:space="0" w:color="auto"/>
        <w:left w:val="none" w:sz="0" w:space="0" w:color="auto"/>
        <w:bottom w:val="none" w:sz="0" w:space="0" w:color="auto"/>
        <w:right w:val="none" w:sz="0" w:space="0" w:color="auto"/>
      </w:divBdr>
      <w:divsChild>
        <w:div w:id="1555850645">
          <w:marLeft w:val="0"/>
          <w:marRight w:val="0"/>
          <w:marTop w:val="0"/>
          <w:marBottom w:val="540"/>
          <w:divBdr>
            <w:top w:val="none" w:sz="0" w:space="0" w:color="auto"/>
            <w:left w:val="none" w:sz="0" w:space="0" w:color="auto"/>
            <w:bottom w:val="none" w:sz="0" w:space="0" w:color="auto"/>
            <w:right w:val="none" w:sz="0" w:space="0" w:color="auto"/>
          </w:divBdr>
          <w:divsChild>
            <w:div w:id="1318535974">
              <w:marLeft w:val="0"/>
              <w:marRight w:val="0"/>
              <w:marTop w:val="0"/>
              <w:marBottom w:val="120"/>
              <w:divBdr>
                <w:top w:val="none" w:sz="0" w:space="0" w:color="auto"/>
                <w:left w:val="none" w:sz="0" w:space="0" w:color="auto"/>
                <w:bottom w:val="none" w:sz="0" w:space="0" w:color="auto"/>
                <w:right w:val="none" w:sz="0" w:space="0" w:color="auto"/>
              </w:divBdr>
            </w:div>
            <w:div w:id="372388423">
              <w:marLeft w:val="0"/>
              <w:marRight w:val="0"/>
              <w:marTop w:val="0"/>
              <w:marBottom w:val="360"/>
              <w:divBdr>
                <w:top w:val="none" w:sz="0" w:space="0" w:color="auto"/>
                <w:left w:val="none" w:sz="0" w:space="0" w:color="auto"/>
                <w:bottom w:val="none" w:sz="0" w:space="0" w:color="auto"/>
                <w:right w:val="none" w:sz="0" w:space="0" w:color="auto"/>
              </w:divBdr>
            </w:div>
            <w:div w:id="1959598862">
              <w:marLeft w:val="0"/>
              <w:marRight w:val="0"/>
              <w:marTop w:val="0"/>
              <w:marBottom w:val="0"/>
              <w:divBdr>
                <w:top w:val="none" w:sz="0" w:space="0" w:color="auto"/>
                <w:left w:val="none" w:sz="0" w:space="0" w:color="auto"/>
                <w:bottom w:val="none" w:sz="0" w:space="0" w:color="auto"/>
                <w:right w:val="none" w:sz="0" w:space="0" w:color="auto"/>
              </w:divBdr>
              <w:divsChild>
                <w:div w:id="900750860">
                  <w:marLeft w:val="0"/>
                  <w:marRight w:val="0"/>
                  <w:marTop w:val="0"/>
                  <w:marBottom w:val="0"/>
                  <w:divBdr>
                    <w:top w:val="none" w:sz="0" w:space="0" w:color="auto"/>
                    <w:left w:val="none" w:sz="0" w:space="0" w:color="auto"/>
                    <w:bottom w:val="none" w:sz="0" w:space="0" w:color="auto"/>
                    <w:right w:val="none" w:sz="0" w:space="0" w:color="auto"/>
                  </w:divBdr>
                </w:div>
                <w:div w:id="683553575">
                  <w:marLeft w:val="0"/>
                  <w:marRight w:val="0"/>
                  <w:marTop w:val="0"/>
                  <w:marBottom w:val="0"/>
                  <w:divBdr>
                    <w:top w:val="none" w:sz="0" w:space="0" w:color="auto"/>
                    <w:left w:val="none" w:sz="0" w:space="0" w:color="auto"/>
                    <w:bottom w:val="none" w:sz="0" w:space="0" w:color="auto"/>
                    <w:right w:val="none" w:sz="0" w:space="0" w:color="auto"/>
                  </w:divBdr>
                  <w:divsChild>
                    <w:div w:id="95764269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3189041">
              <w:marLeft w:val="0"/>
              <w:marRight w:val="0"/>
              <w:marTop w:val="0"/>
              <w:marBottom w:val="360"/>
              <w:divBdr>
                <w:top w:val="none" w:sz="0" w:space="0" w:color="auto"/>
                <w:left w:val="none" w:sz="0" w:space="0" w:color="auto"/>
                <w:bottom w:val="none" w:sz="0" w:space="0" w:color="auto"/>
                <w:right w:val="none" w:sz="0" w:space="0" w:color="auto"/>
              </w:divBdr>
              <w:divsChild>
                <w:div w:id="1289507225">
                  <w:marLeft w:val="0"/>
                  <w:marRight w:val="240"/>
                  <w:marTop w:val="0"/>
                  <w:marBottom w:val="0"/>
                  <w:divBdr>
                    <w:top w:val="none" w:sz="0" w:space="0" w:color="auto"/>
                    <w:left w:val="none" w:sz="0" w:space="0" w:color="auto"/>
                    <w:bottom w:val="none" w:sz="0" w:space="0" w:color="auto"/>
                    <w:right w:val="single" w:sz="6" w:space="12" w:color="CCCCCC"/>
                  </w:divBdr>
                  <w:divsChild>
                    <w:div w:id="2100172763">
                      <w:marLeft w:val="0"/>
                      <w:marRight w:val="0"/>
                      <w:marTop w:val="0"/>
                      <w:marBottom w:val="0"/>
                      <w:divBdr>
                        <w:top w:val="none" w:sz="0" w:space="0" w:color="auto"/>
                        <w:left w:val="none" w:sz="0" w:space="0" w:color="auto"/>
                        <w:bottom w:val="none" w:sz="0" w:space="0" w:color="auto"/>
                        <w:right w:val="none" w:sz="0" w:space="0" w:color="auto"/>
                      </w:divBdr>
                    </w:div>
                  </w:divsChild>
                </w:div>
                <w:div w:id="18983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7132">
      <w:bodyDiv w:val="1"/>
      <w:marLeft w:val="0"/>
      <w:marRight w:val="0"/>
      <w:marTop w:val="0"/>
      <w:marBottom w:val="0"/>
      <w:divBdr>
        <w:top w:val="none" w:sz="0" w:space="0" w:color="auto"/>
        <w:left w:val="none" w:sz="0" w:space="0" w:color="auto"/>
        <w:bottom w:val="none" w:sz="0" w:space="0" w:color="auto"/>
        <w:right w:val="none" w:sz="0" w:space="0" w:color="auto"/>
      </w:divBdr>
    </w:div>
    <w:div w:id="865487282">
      <w:bodyDiv w:val="1"/>
      <w:marLeft w:val="0"/>
      <w:marRight w:val="0"/>
      <w:marTop w:val="0"/>
      <w:marBottom w:val="0"/>
      <w:divBdr>
        <w:top w:val="none" w:sz="0" w:space="0" w:color="auto"/>
        <w:left w:val="none" w:sz="0" w:space="0" w:color="auto"/>
        <w:bottom w:val="none" w:sz="0" w:space="0" w:color="auto"/>
        <w:right w:val="none" w:sz="0" w:space="0" w:color="auto"/>
      </w:divBdr>
    </w:div>
    <w:div w:id="1257792366">
      <w:bodyDiv w:val="1"/>
      <w:marLeft w:val="0"/>
      <w:marRight w:val="0"/>
      <w:marTop w:val="0"/>
      <w:marBottom w:val="0"/>
      <w:divBdr>
        <w:top w:val="none" w:sz="0" w:space="0" w:color="auto"/>
        <w:left w:val="none" w:sz="0" w:space="0" w:color="auto"/>
        <w:bottom w:val="none" w:sz="0" w:space="0" w:color="auto"/>
        <w:right w:val="none" w:sz="0" w:space="0" w:color="auto"/>
      </w:divBdr>
    </w:div>
    <w:div w:id="1286037297">
      <w:bodyDiv w:val="1"/>
      <w:marLeft w:val="0"/>
      <w:marRight w:val="0"/>
      <w:marTop w:val="0"/>
      <w:marBottom w:val="0"/>
      <w:divBdr>
        <w:top w:val="none" w:sz="0" w:space="0" w:color="auto"/>
        <w:left w:val="none" w:sz="0" w:space="0" w:color="auto"/>
        <w:bottom w:val="none" w:sz="0" w:space="0" w:color="auto"/>
        <w:right w:val="none" w:sz="0" w:space="0" w:color="auto"/>
      </w:divBdr>
    </w:div>
    <w:div w:id="1455714406">
      <w:bodyDiv w:val="1"/>
      <w:marLeft w:val="0"/>
      <w:marRight w:val="0"/>
      <w:marTop w:val="0"/>
      <w:marBottom w:val="0"/>
      <w:divBdr>
        <w:top w:val="none" w:sz="0" w:space="0" w:color="auto"/>
        <w:left w:val="none" w:sz="0" w:space="0" w:color="auto"/>
        <w:bottom w:val="none" w:sz="0" w:space="0" w:color="auto"/>
        <w:right w:val="none" w:sz="0" w:space="0" w:color="auto"/>
      </w:divBdr>
    </w:div>
    <w:div w:id="2060200205">
      <w:bodyDiv w:val="1"/>
      <w:marLeft w:val="0"/>
      <w:marRight w:val="0"/>
      <w:marTop w:val="0"/>
      <w:marBottom w:val="0"/>
      <w:divBdr>
        <w:top w:val="none" w:sz="0" w:space="0" w:color="auto"/>
        <w:left w:val="none" w:sz="0" w:space="0" w:color="auto"/>
        <w:bottom w:val="none" w:sz="0" w:space="0" w:color="auto"/>
        <w:right w:val="none" w:sz="0" w:space="0" w:color="auto"/>
      </w:divBdr>
    </w:div>
    <w:div w:id="20615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uppublishing.com/toc/soma/7/1" TargetMode="External"/><Relationship Id="rId13" Type="http://schemas.openxmlformats.org/officeDocument/2006/relationships/hyperlink" Target="https://www.insidehighered.com/news/2019/07/19/divide-over-scholarly-debate-over-gender-identity-rages" TargetMode="External"/><Relationship Id="rId18" Type="http://schemas.openxmlformats.org/officeDocument/2006/relationships/hyperlink" Target="https://www.openglobalrights.org/the-limits-and-the-promise-of-trans-rights-as-human-rights-claims/" TargetMode="External"/><Relationship Id="rId3" Type="http://schemas.openxmlformats.org/officeDocument/2006/relationships/hyperlink" Target="https://www.bccourts.ca/supreme_court/practice_and_procedure/practice_directions/civil/PD-59_Forms_of_Address_for_Parties_and_Counsel_in_Proceedings.pdf" TargetMode="External"/><Relationship Id="rId21" Type="http://schemas.openxmlformats.org/officeDocument/2006/relationships/hyperlink" Target="https://www.scc-csc.ca/judges-juges/spe-dis/rw-2018-10-04-eng.aspx?pedisable=true" TargetMode="External"/><Relationship Id="rId7" Type="http://schemas.openxmlformats.org/officeDocument/2006/relationships/hyperlink" Target="https://www.uvic.ca/research/transchair/about/index.php" TargetMode="External"/><Relationship Id="rId12" Type="http://schemas.openxmlformats.org/officeDocument/2006/relationships/hyperlink" Target="https://www.nytimes.com/2019/12/21/opinion/jk-rowling-twitter-trans.html" TargetMode="External"/><Relationship Id="rId17" Type="http://schemas.openxmlformats.org/officeDocument/2006/relationships/hyperlink" Target="https://www.justice.gc.ca/eng/csj-sjc/pl/identity-identite/faq.html" TargetMode="External"/><Relationship Id="rId25" Type="http://schemas.openxmlformats.org/officeDocument/2006/relationships/hyperlink" Target="https://equality.jotwell.com/a-lively-conversation-on-trans-legal-change/" TargetMode="External"/><Relationship Id="rId2" Type="http://schemas.openxmlformats.org/officeDocument/2006/relationships/hyperlink" Target="https://www.provincialcourt.bc.ca/enews/enews-16-12-2020" TargetMode="External"/><Relationship Id="rId16" Type="http://schemas.openxmlformats.org/officeDocument/2006/relationships/hyperlink" Target="https://www.theguardian.com/society/2020/sep/22/uk-government-drops-gender-self-identification-plan-for-trans-people" TargetMode="External"/><Relationship Id="rId20" Type="http://schemas.openxmlformats.org/officeDocument/2006/relationships/hyperlink" Target="https://www.lgbtqprimaryhub.com/heteronormativity-cisnormativity" TargetMode="External"/><Relationship Id="rId1" Type="http://schemas.openxmlformats.org/officeDocument/2006/relationships/hyperlink" Target="https://www.cambridge.org/core/journals/canadian-journal-of-law-and-society-la-revue-canadienne-droit-et-societe/issue/04C432962B4FC19D091F7DC3548D1794" TargetMode="External"/><Relationship Id="rId6" Type="http://schemas.openxmlformats.org/officeDocument/2006/relationships/hyperlink" Target="https://www.vanityfair.com/hollywood/2015/06/caitlyn-jenner-bruce-cover-annie-leibovitz" TargetMode="External"/><Relationship Id="rId11" Type="http://schemas.openxmlformats.org/officeDocument/2006/relationships/hyperlink" Target="https://www.hrc.org/resources/violence-against-the-trans-and-gender-non-conforming-community-in-2020" TargetMode="External"/><Relationship Id="rId24" Type="http://schemas.openxmlformats.org/officeDocument/2006/relationships/hyperlink" Target="https://journals.kent.ac.uk/index.php/feministsatlaw/article/download/937/1797?inline=1" TargetMode="External"/><Relationship Id="rId5" Type="http://schemas.openxmlformats.org/officeDocument/2006/relationships/hyperlink" Target="https://time.com/magazine/us/135460/june-9th-2014-vol-183-no-22-u-s/" TargetMode="External"/><Relationship Id="rId15" Type="http://schemas.openxmlformats.org/officeDocument/2006/relationships/hyperlink" Target="https://www.newstatesman.com/international/2020/09/judith-butler-culture-wars-jk-rowling-and-living-anti-intellectual-times" TargetMode="External"/><Relationship Id="rId23" Type="http://schemas.openxmlformats.org/officeDocument/2006/relationships/hyperlink" Target="https://www.theguardian.com/education/2020/sep/25/government-issues-gender-identity-guidance-for-teachers-in-england" TargetMode="External"/><Relationship Id="rId10" Type="http://schemas.openxmlformats.org/officeDocument/2006/relationships/hyperlink" Target="https://www.cbsnews.com/news/transgender-community-fatal-violence-spike/" TargetMode="External"/><Relationship Id="rId19" Type="http://schemas.openxmlformats.org/officeDocument/2006/relationships/hyperlink" Target="https://www.lexico.com/definition/quotidian" TargetMode="External"/><Relationship Id="rId4" Type="http://schemas.openxmlformats.org/officeDocument/2006/relationships/hyperlink" Target="https://www.instagram.com/p/CIQ1QFBhNFg/?utm_source=ig_web_copy_link" TargetMode="External"/><Relationship Id="rId9" Type="http://schemas.openxmlformats.org/officeDocument/2006/relationships/hyperlink" Target="https://journals.kent.ac.uk/index.php/feministsatlaw/issue/view/45" TargetMode="External"/><Relationship Id="rId14" Type="http://schemas.openxmlformats.org/officeDocument/2006/relationships/hyperlink" Target="https://www.theglobeandmail.com/opinion/article-the-targeting-of-other-women-shows-meghan-murphy-is-no-feminist/" TargetMode="External"/><Relationship Id="rId22" Type="http://schemas.openxmlformats.org/officeDocument/2006/relationships/hyperlink" Target="https://www.vocabulary.com/dictionary/dispe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A3E8414BF2647878A50716EADB791" ma:contentTypeVersion="14" ma:contentTypeDescription="Create a new document." ma:contentTypeScope="" ma:versionID="754ade3cacc927b516f1bb3dedf5d943">
  <xsd:schema xmlns:xsd="http://www.w3.org/2001/XMLSchema" xmlns:xs="http://www.w3.org/2001/XMLSchema" xmlns:p="http://schemas.microsoft.com/office/2006/metadata/properties" xmlns:ns3="c6234777-a953-4a24-b068-328e637f6d83" xmlns:ns4="675c330b-41c6-4d75-9930-11d8135af13b" targetNamespace="http://schemas.microsoft.com/office/2006/metadata/properties" ma:root="true" ma:fieldsID="4c9293295098a16452bd39d8d58b915b" ns3:_="" ns4:_="">
    <xsd:import namespace="c6234777-a953-4a24-b068-328e637f6d83"/>
    <xsd:import namespace="675c330b-41c6-4d75-9930-11d8135af1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4777-a953-4a24-b068-328e637f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c330b-41c6-4d75-9930-11d8135af1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833A1-9A37-4FA6-8224-999C526FB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34777-a953-4a24-b068-328e637f6d83"/>
    <ds:schemaRef ds:uri="675c330b-41c6-4d75-9930-11d8135a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A44B5-ECA2-4EFD-AAE7-F559D93E94C1}">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75c330b-41c6-4d75-9930-11d8135af13b"/>
    <ds:schemaRef ds:uri="http://purl.org/dc/terms/"/>
    <ds:schemaRef ds:uri="c6234777-a953-4a24-b068-328e637f6d83"/>
    <ds:schemaRef ds:uri="http://www.w3.org/XML/1998/namespace"/>
  </ds:schemaRefs>
</ds:datastoreItem>
</file>

<file path=customXml/itemProps3.xml><?xml version="1.0" encoding="utf-8"?>
<ds:datastoreItem xmlns:ds="http://schemas.openxmlformats.org/officeDocument/2006/customXml" ds:itemID="{E7E92B72-C083-414B-A97F-A4584DF618AB}">
  <ds:schemaRefs>
    <ds:schemaRef ds:uri="http://schemas.microsoft.com/sharepoint/v3/contenttype/forms"/>
  </ds:schemaRefs>
</ds:datastoreItem>
</file>

<file path=customXml/itemProps4.xml><?xml version="1.0" encoding="utf-8"?>
<ds:datastoreItem xmlns:ds="http://schemas.openxmlformats.org/officeDocument/2006/customXml" ds:itemID="{61DF0AF2-2F76-490A-B1DF-16E418FE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5426</Words>
  <Characters>30931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36285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Calder</dc:creator>
  <cp:keywords/>
  <dc:description/>
  <cp:lastModifiedBy>Rosemary Hunter</cp:lastModifiedBy>
  <cp:revision>10</cp:revision>
  <dcterms:created xsi:type="dcterms:W3CDTF">2022-04-18T22:04:00Z</dcterms:created>
  <dcterms:modified xsi:type="dcterms:W3CDTF">2022-04-24T14:46:00Z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0x010100D33A3E8414BF2647878A50716EADB791</vt:lpwstr>
  </property>
</Properties>
</file>